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025352095"/>
    <w:bookmarkEnd w:id="0"/>
    <w:p w14:paraId="20EA20FE" w14:textId="77777777" w:rsidR="008F6C79" w:rsidRPr="008F6C79" w:rsidRDefault="008F6C79" w:rsidP="008F6C79">
      <w:pPr>
        <w:spacing w:after="0" w:line="240" w:lineRule="auto"/>
        <w:jc w:val="center"/>
        <w:rPr>
          <w:rFonts w:ascii="Arial" w:eastAsia="Times New Roman" w:hAnsi="Arial" w:cs="Times New Roman"/>
          <w:color w:val="auto"/>
          <w:sz w:val="24"/>
          <w:szCs w:val="20"/>
        </w:rPr>
      </w:pPr>
      <w:r w:rsidRPr="008F6C79">
        <w:rPr>
          <w:rFonts w:ascii="Arial" w:eastAsia="Times New Roman" w:hAnsi="Arial" w:cs="Times New Roman"/>
          <w:color w:val="auto"/>
          <w:sz w:val="24"/>
          <w:szCs w:val="20"/>
        </w:rPr>
        <w:object w:dxaOrig="3706" w:dyaOrig="1186" w14:anchorId="4D506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25pt;height:59.25pt" o:ole="" fillcolor="window">
            <v:imagedata r:id="rId5" o:title=""/>
          </v:shape>
          <o:OLEObject Type="Embed" ProgID="Word.Picture.8" ShapeID="_x0000_i1025" DrawAspect="Content" ObjectID="_1689655342" r:id="rId6"/>
        </w:object>
      </w:r>
    </w:p>
    <w:p w14:paraId="51007D4D" w14:textId="77777777" w:rsidR="008F6C79" w:rsidRPr="008F6C79" w:rsidRDefault="008F6C79" w:rsidP="008F6C79">
      <w:pPr>
        <w:spacing w:after="0" w:line="240" w:lineRule="auto"/>
        <w:jc w:val="center"/>
        <w:rPr>
          <w:rFonts w:ascii="Arial" w:eastAsia="Times New Roman" w:hAnsi="Arial" w:cs="Times New Roman"/>
          <w:color w:val="auto"/>
          <w:sz w:val="24"/>
          <w:szCs w:val="20"/>
        </w:rPr>
      </w:pPr>
    </w:p>
    <w:p w14:paraId="1AD3C253" w14:textId="77777777" w:rsidR="008F6C79" w:rsidRPr="008F6C79" w:rsidRDefault="008F6C79" w:rsidP="008F6C79">
      <w:pPr>
        <w:spacing w:after="0" w:line="240" w:lineRule="auto"/>
        <w:jc w:val="center"/>
        <w:rPr>
          <w:rFonts w:ascii="Times New Roman" w:eastAsia="Times New Roman" w:hAnsi="Times New Roman" w:cs="Times New Roman"/>
          <w:b/>
          <w:i/>
          <w:color w:val="auto"/>
          <w:sz w:val="24"/>
          <w:szCs w:val="20"/>
        </w:rPr>
      </w:pPr>
      <w:r w:rsidRPr="008F6C79">
        <w:rPr>
          <w:rFonts w:ascii="Times New Roman" w:eastAsia="Times New Roman" w:hAnsi="Times New Roman" w:cs="Times New Roman"/>
          <w:b/>
          <w:i/>
          <w:color w:val="auto"/>
          <w:sz w:val="24"/>
          <w:szCs w:val="20"/>
        </w:rPr>
        <w:t>Office of Human Resource Services</w:t>
      </w:r>
    </w:p>
    <w:p w14:paraId="48D2AB57" w14:textId="77777777" w:rsidR="008F6C79" w:rsidRPr="008F6C79" w:rsidRDefault="008F6C79" w:rsidP="008F6C79">
      <w:pPr>
        <w:spacing w:after="0" w:line="240" w:lineRule="auto"/>
        <w:jc w:val="center"/>
        <w:rPr>
          <w:rFonts w:ascii="Times New Roman" w:eastAsia="Times New Roman" w:hAnsi="Times New Roman" w:cs="Times New Roman"/>
          <w:b/>
          <w:color w:val="auto"/>
          <w:sz w:val="24"/>
          <w:szCs w:val="20"/>
        </w:rPr>
      </w:pPr>
    </w:p>
    <w:p w14:paraId="5039132D" w14:textId="520FB6C6" w:rsidR="008F6C79" w:rsidRDefault="008F6C79">
      <w:pPr>
        <w:spacing w:after="43"/>
        <w:ind w:left="-29" w:right="-751"/>
        <w:jc w:val="right"/>
        <w:rPr>
          <w:rFonts w:ascii="Arial" w:eastAsia="Arial" w:hAnsi="Arial" w:cs="Arial"/>
          <w:b/>
          <w:color w:val="012D5B"/>
          <w:sz w:val="20"/>
        </w:rPr>
      </w:pPr>
    </w:p>
    <w:p w14:paraId="4B509E22" w14:textId="55F09C4F" w:rsidR="008F6C79" w:rsidRDefault="008F6C79" w:rsidP="008F6C79">
      <w:pPr>
        <w:spacing w:after="0"/>
        <w:jc w:val="center"/>
        <w:rPr>
          <w:b/>
        </w:rPr>
      </w:pPr>
      <w:r>
        <w:rPr>
          <w:b/>
        </w:rPr>
        <w:t>HIRING POOLS</w:t>
      </w:r>
    </w:p>
    <w:p w14:paraId="0AA95426" w14:textId="77777777" w:rsidR="008F6C79" w:rsidRDefault="008F6C79" w:rsidP="008F6C79">
      <w:pPr>
        <w:spacing w:after="0"/>
        <w:jc w:val="center"/>
      </w:pPr>
    </w:p>
    <w:tbl>
      <w:tblPr>
        <w:tblStyle w:val="TableGrid"/>
        <w:tblW w:w="10506" w:type="dxa"/>
        <w:tblInd w:w="19" w:type="dxa"/>
        <w:tblCellMar>
          <w:top w:w="17" w:type="dxa"/>
          <w:left w:w="103" w:type="dxa"/>
          <w:bottom w:w="0" w:type="dxa"/>
          <w:right w:w="76" w:type="dxa"/>
        </w:tblCellMar>
        <w:tblLook w:val="04A0" w:firstRow="1" w:lastRow="0" w:firstColumn="1" w:lastColumn="0" w:noHBand="0" w:noVBand="1"/>
      </w:tblPr>
      <w:tblGrid>
        <w:gridCol w:w="10506"/>
      </w:tblGrid>
      <w:tr w:rsidR="00D6304D" w14:paraId="4D09C244" w14:textId="77777777">
        <w:trPr>
          <w:trHeight w:val="9391"/>
        </w:trPr>
        <w:tc>
          <w:tcPr>
            <w:tcW w:w="10506" w:type="dxa"/>
            <w:tcBorders>
              <w:top w:val="single" w:sz="11" w:space="0" w:color="012D5B"/>
              <w:left w:val="single" w:sz="12" w:space="0" w:color="012D5B"/>
              <w:bottom w:val="single" w:sz="12" w:space="0" w:color="012D5B"/>
              <w:right w:val="single" w:sz="12" w:space="0" w:color="012D5B"/>
            </w:tcBorders>
            <w:shd w:val="clear" w:color="auto" w:fill="E5E5E5"/>
          </w:tcPr>
          <w:p w14:paraId="64885B47" w14:textId="77777777" w:rsidR="00D6304D" w:rsidRDefault="008F6C79">
            <w:pPr>
              <w:spacing w:after="0"/>
            </w:pPr>
            <w:r>
              <w:rPr>
                <w:rFonts w:ascii="Arial" w:eastAsia="Arial" w:hAnsi="Arial" w:cs="Arial"/>
                <w:sz w:val="20"/>
              </w:rPr>
              <w:t xml:space="preserve">  </w:t>
            </w:r>
          </w:p>
          <w:p w14:paraId="5E2290FA" w14:textId="36954BA4" w:rsidR="00D6304D" w:rsidRDefault="008F6C79">
            <w:pPr>
              <w:numPr>
                <w:ilvl w:val="0"/>
                <w:numId w:val="1"/>
              </w:numPr>
              <w:spacing w:after="0" w:line="239" w:lineRule="auto"/>
              <w:ind w:hanging="360"/>
            </w:pPr>
            <w:r>
              <w:rPr>
                <w:rFonts w:ascii="Arial" w:eastAsia="Arial" w:hAnsi="Arial" w:cs="Arial"/>
                <w:color w:val="203864"/>
              </w:rPr>
              <w:t>The Position Authorization Form (PAF) and Vacancy Announcement (VA) are prepared in the college</w:t>
            </w:r>
            <w:r>
              <w:rPr>
                <w:rFonts w:ascii="Arial" w:eastAsia="Arial" w:hAnsi="Arial" w:cs="Arial"/>
                <w:color w:val="203864"/>
              </w:rPr>
              <w:t xml:space="preserve"> and forwarded to the HR Specialist for processing in </w:t>
            </w:r>
            <w:proofErr w:type="spellStart"/>
            <w:r>
              <w:rPr>
                <w:rFonts w:ascii="Arial" w:eastAsia="Arial" w:hAnsi="Arial" w:cs="Arial"/>
                <w:color w:val="203864"/>
              </w:rPr>
              <w:t>Peopleadmin</w:t>
            </w:r>
            <w:proofErr w:type="spellEnd"/>
            <w:r>
              <w:rPr>
                <w:rFonts w:ascii="Arial" w:eastAsia="Arial" w:hAnsi="Arial" w:cs="Arial"/>
                <w:color w:val="203864"/>
              </w:rPr>
              <w:t>. Transcripts will be required as part of the application for all hiring pools.</w:t>
            </w:r>
          </w:p>
          <w:p w14:paraId="6F20AD05" w14:textId="77777777" w:rsidR="00D6304D" w:rsidRDefault="008F6C79">
            <w:pPr>
              <w:spacing w:after="0"/>
            </w:pPr>
            <w:r>
              <w:rPr>
                <w:rFonts w:ascii="Arial" w:eastAsia="Arial" w:hAnsi="Arial" w:cs="Arial"/>
                <w:color w:val="203864"/>
              </w:rPr>
              <w:t xml:space="preserve"> </w:t>
            </w:r>
          </w:p>
          <w:p w14:paraId="539A8FBA" w14:textId="77777777" w:rsidR="00D6304D" w:rsidRDefault="008F6C79">
            <w:pPr>
              <w:numPr>
                <w:ilvl w:val="0"/>
                <w:numId w:val="1"/>
              </w:numPr>
              <w:spacing w:after="2" w:line="238" w:lineRule="auto"/>
              <w:ind w:hanging="360"/>
            </w:pPr>
            <w:r>
              <w:rPr>
                <w:rFonts w:ascii="Arial" w:eastAsia="Arial" w:hAnsi="Arial" w:cs="Arial"/>
                <w:color w:val="203864"/>
              </w:rPr>
              <w:t>The VA must include all affected disciplines wi</w:t>
            </w:r>
            <w:r>
              <w:rPr>
                <w:rFonts w:ascii="Arial" w:eastAsia="Arial" w:hAnsi="Arial" w:cs="Arial"/>
                <w:color w:val="203864"/>
              </w:rPr>
              <w:t xml:space="preserve">th the college/school as well as all general requirements, e.g., a minimum 3 years teaching experience, terminal degree, etc. </w:t>
            </w:r>
          </w:p>
          <w:p w14:paraId="6B88B699" w14:textId="77777777" w:rsidR="00D6304D" w:rsidRDefault="008F6C79">
            <w:pPr>
              <w:spacing w:after="0"/>
            </w:pPr>
            <w:r>
              <w:rPr>
                <w:rFonts w:ascii="Arial" w:eastAsia="Arial" w:hAnsi="Arial" w:cs="Arial"/>
                <w:color w:val="203864"/>
              </w:rPr>
              <w:t xml:space="preserve"> </w:t>
            </w:r>
          </w:p>
          <w:p w14:paraId="702CB198" w14:textId="2CC36CE8" w:rsidR="00D6304D" w:rsidRPr="008F6C79" w:rsidRDefault="008F6C79" w:rsidP="008F6C79">
            <w:pPr>
              <w:numPr>
                <w:ilvl w:val="0"/>
                <w:numId w:val="1"/>
              </w:numPr>
              <w:spacing w:after="0" w:line="250" w:lineRule="auto"/>
              <w:ind w:hanging="360"/>
            </w:pPr>
            <w:r>
              <w:rPr>
                <w:rFonts w:ascii="Arial" w:eastAsia="Arial" w:hAnsi="Arial" w:cs="Arial"/>
                <w:color w:val="203864"/>
              </w:rPr>
              <w:t xml:space="preserve">The hiring pool must be updated and advertised every two years during Spring semester </w:t>
            </w:r>
            <w:r>
              <w:rPr>
                <w:rFonts w:ascii="Arial" w:eastAsia="Arial" w:hAnsi="Arial" w:cs="Arial"/>
                <w:color w:val="203864"/>
              </w:rPr>
              <w:t xml:space="preserve">so the pool can be used the following academic year. </w:t>
            </w:r>
          </w:p>
          <w:p w14:paraId="6035BB8C" w14:textId="77777777" w:rsidR="008F6C79" w:rsidRDefault="008F6C79" w:rsidP="008F6C79">
            <w:pPr>
              <w:spacing w:after="0" w:line="250" w:lineRule="auto"/>
            </w:pPr>
          </w:p>
          <w:p w14:paraId="7DA5FD0A" w14:textId="4F7CF504" w:rsidR="00D6304D" w:rsidRDefault="008F6C79">
            <w:pPr>
              <w:numPr>
                <w:ilvl w:val="0"/>
                <w:numId w:val="1"/>
              </w:numPr>
              <w:spacing w:after="0" w:line="240" w:lineRule="auto"/>
              <w:ind w:hanging="360"/>
            </w:pPr>
            <w:r>
              <w:rPr>
                <w:rFonts w:ascii="Arial" w:eastAsia="Arial" w:hAnsi="Arial" w:cs="Arial"/>
                <w:b/>
                <w:color w:val="203864"/>
              </w:rPr>
              <w:t>S</w:t>
            </w:r>
            <w:r>
              <w:rPr>
                <w:rFonts w:ascii="Arial" w:eastAsia="Arial" w:hAnsi="Arial" w:cs="Arial"/>
                <w:b/>
                <w:color w:val="203864"/>
              </w:rPr>
              <w:t>atisfactory completion of a background check is required after a conditional offer of employment has been made.</w:t>
            </w:r>
            <w:r>
              <w:rPr>
                <w:rFonts w:ascii="Arial" w:eastAsia="Arial" w:hAnsi="Arial" w:cs="Arial"/>
                <w:color w:val="203864"/>
              </w:rPr>
              <w:t xml:space="preserve"> </w:t>
            </w:r>
            <w:r w:rsidRPr="008F6C79">
              <w:rPr>
                <w:rFonts w:ascii="Arial" w:eastAsia="Arial" w:hAnsi="Arial" w:cs="Arial"/>
                <w:b/>
                <w:bCs/>
                <w:color w:val="203864"/>
              </w:rPr>
              <w:t>Official transcripts are required.</w:t>
            </w:r>
          </w:p>
          <w:p w14:paraId="63E96D54" w14:textId="77777777" w:rsidR="00D6304D" w:rsidRDefault="008F6C79">
            <w:pPr>
              <w:spacing w:after="0"/>
            </w:pPr>
            <w:r>
              <w:rPr>
                <w:rFonts w:ascii="Arial" w:eastAsia="Arial" w:hAnsi="Arial" w:cs="Arial"/>
                <w:color w:val="203864"/>
              </w:rPr>
              <w:t xml:space="preserve"> </w:t>
            </w:r>
          </w:p>
          <w:p w14:paraId="0D1423BC" w14:textId="77777777" w:rsidR="00D6304D" w:rsidRDefault="008F6C79">
            <w:pPr>
              <w:numPr>
                <w:ilvl w:val="0"/>
                <w:numId w:val="1"/>
              </w:numPr>
              <w:spacing w:after="1" w:line="239" w:lineRule="auto"/>
              <w:ind w:hanging="360"/>
            </w:pPr>
            <w:r>
              <w:rPr>
                <w:rFonts w:ascii="Arial" w:eastAsia="Arial" w:hAnsi="Arial" w:cs="Arial"/>
                <w:color w:val="203864"/>
              </w:rPr>
              <w:t>Each college/school shall establish an initial screening committee to evaluate applications as they arrive. The screening committee is to evaluate only if the applicant meets minimum qualifications applications are then forwarded to the respective departme</w:t>
            </w:r>
            <w:r>
              <w:rPr>
                <w:rFonts w:ascii="Arial" w:eastAsia="Arial" w:hAnsi="Arial" w:cs="Arial"/>
                <w:color w:val="203864"/>
              </w:rPr>
              <w:t xml:space="preserve">nts. </w:t>
            </w:r>
          </w:p>
          <w:p w14:paraId="58AB8C35" w14:textId="77777777" w:rsidR="00D6304D" w:rsidRPr="008F6C79" w:rsidRDefault="008F6C79">
            <w:pPr>
              <w:spacing w:after="0"/>
              <w:rPr>
                <w:bCs/>
              </w:rPr>
            </w:pPr>
            <w:r>
              <w:rPr>
                <w:rFonts w:ascii="Arial" w:eastAsia="Arial" w:hAnsi="Arial" w:cs="Arial"/>
                <w:color w:val="203864"/>
              </w:rPr>
              <w:t xml:space="preserve"> </w:t>
            </w:r>
          </w:p>
          <w:p w14:paraId="482EADD6" w14:textId="77777777" w:rsidR="00D6304D" w:rsidRPr="008F6C79" w:rsidRDefault="008F6C79">
            <w:pPr>
              <w:spacing w:after="0"/>
              <w:rPr>
                <w:bCs/>
              </w:rPr>
            </w:pPr>
            <w:r w:rsidRPr="008F6C79">
              <w:rPr>
                <w:rFonts w:ascii="Arial" w:eastAsia="Arial" w:hAnsi="Arial" w:cs="Arial"/>
                <w:bCs/>
                <w:color w:val="203864"/>
              </w:rPr>
              <w:t xml:space="preserve">The screening committee must keep a written record of: </w:t>
            </w:r>
          </w:p>
          <w:p w14:paraId="41CFC9C0" w14:textId="77777777" w:rsidR="00D6304D" w:rsidRDefault="008F6C79">
            <w:pPr>
              <w:numPr>
                <w:ilvl w:val="1"/>
                <w:numId w:val="1"/>
              </w:numPr>
              <w:spacing w:after="0"/>
              <w:ind w:hanging="360"/>
            </w:pPr>
            <w:r>
              <w:rPr>
                <w:rFonts w:ascii="Arial" w:eastAsia="Arial" w:hAnsi="Arial" w:cs="Arial"/>
                <w:color w:val="203864"/>
              </w:rPr>
              <w:t xml:space="preserve">All applicants. </w:t>
            </w:r>
          </w:p>
          <w:p w14:paraId="5B7BB0E0" w14:textId="77777777" w:rsidR="00D6304D" w:rsidRDefault="008F6C79">
            <w:pPr>
              <w:numPr>
                <w:ilvl w:val="1"/>
                <w:numId w:val="1"/>
              </w:numPr>
              <w:spacing w:after="0"/>
              <w:ind w:hanging="360"/>
            </w:pPr>
            <w:r>
              <w:rPr>
                <w:rFonts w:ascii="Arial" w:eastAsia="Arial" w:hAnsi="Arial" w:cs="Arial"/>
                <w:color w:val="203864"/>
              </w:rPr>
              <w:t xml:space="preserve">Number of denials and reason(s) for denial. </w:t>
            </w:r>
          </w:p>
          <w:p w14:paraId="333D7152" w14:textId="77777777" w:rsidR="00D6304D" w:rsidRDefault="008F6C79">
            <w:pPr>
              <w:spacing w:after="0"/>
              <w:ind w:left="720"/>
            </w:pPr>
            <w:r>
              <w:rPr>
                <w:rFonts w:ascii="Arial" w:eastAsia="Arial" w:hAnsi="Arial" w:cs="Arial"/>
                <w:color w:val="203864"/>
              </w:rPr>
              <w:t xml:space="preserve"> </w:t>
            </w:r>
          </w:p>
          <w:p w14:paraId="57311880" w14:textId="77777777" w:rsidR="00D6304D" w:rsidRDefault="008F6C79">
            <w:pPr>
              <w:spacing w:after="0" w:line="274" w:lineRule="auto"/>
            </w:pPr>
            <w:r>
              <w:rPr>
                <w:rFonts w:ascii="Arial" w:eastAsia="Arial" w:hAnsi="Arial" w:cs="Arial"/>
                <w:color w:val="203864"/>
              </w:rPr>
              <w:t xml:space="preserve">All applicants who are denied acceptance into the pool shall be so notified in writing. A copy of this letter shall be kept in the applicant’s file. </w:t>
            </w:r>
          </w:p>
          <w:p w14:paraId="1185CBCE" w14:textId="77777777" w:rsidR="00D6304D" w:rsidRDefault="008F6C79">
            <w:pPr>
              <w:spacing w:after="0"/>
            </w:pPr>
            <w:r>
              <w:rPr>
                <w:rFonts w:ascii="Arial" w:eastAsia="Arial" w:hAnsi="Arial" w:cs="Arial"/>
                <w:color w:val="203864"/>
              </w:rPr>
              <w:t xml:space="preserve"> </w:t>
            </w:r>
          </w:p>
          <w:p w14:paraId="54E8677D" w14:textId="1D38A7A9" w:rsidR="00D6304D" w:rsidRDefault="008F6C79">
            <w:pPr>
              <w:spacing w:after="0" w:line="239" w:lineRule="auto"/>
            </w:pPr>
            <w:r>
              <w:rPr>
                <w:rFonts w:ascii="Arial" w:eastAsia="Arial" w:hAnsi="Arial" w:cs="Arial"/>
                <w:color w:val="203864"/>
              </w:rPr>
              <w:t>All applicants who are accepted into the pool shall be so notified, in writing</w:t>
            </w:r>
            <w:r>
              <w:rPr>
                <w:rFonts w:ascii="Arial" w:eastAsia="Arial" w:hAnsi="Arial" w:cs="Arial"/>
                <w:color w:val="203864"/>
              </w:rPr>
              <w:t xml:space="preserve">. The terms of acceptance must be stated in the letter, e.g., temporary assignment, need for annual update, etc. </w:t>
            </w:r>
          </w:p>
          <w:p w14:paraId="72D71573" w14:textId="77777777" w:rsidR="00D6304D" w:rsidRDefault="008F6C79">
            <w:pPr>
              <w:spacing w:after="0"/>
            </w:pPr>
            <w:r>
              <w:rPr>
                <w:rFonts w:ascii="Arial" w:eastAsia="Arial" w:hAnsi="Arial" w:cs="Arial"/>
                <w:sz w:val="20"/>
              </w:rPr>
              <w:t xml:space="preserve"> </w:t>
            </w:r>
          </w:p>
          <w:p w14:paraId="405EE453" w14:textId="77777777" w:rsidR="00D6304D" w:rsidRDefault="008F6C79">
            <w:pPr>
              <w:spacing w:after="0"/>
            </w:pPr>
            <w:r>
              <w:rPr>
                <w:rFonts w:ascii="Arial" w:eastAsia="Arial" w:hAnsi="Arial" w:cs="Arial"/>
                <w:color w:val="1F3864"/>
              </w:rPr>
              <w:t xml:space="preserve"> </w:t>
            </w:r>
          </w:p>
          <w:p w14:paraId="136A0E42" w14:textId="77777777" w:rsidR="00D6304D" w:rsidRDefault="008F6C79">
            <w:pPr>
              <w:spacing w:after="51"/>
            </w:pPr>
            <w:r>
              <w:rPr>
                <w:rFonts w:ascii="Arial" w:eastAsia="Arial" w:hAnsi="Arial" w:cs="Arial"/>
                <w:color w:val="002060"/>
                <w:sz w:val="18"/>
              </w:rPr>
              <w:t xml:space="preserve"> </w:t>
            </w:r>
          </w:p>
          <w:p w14:paraId="66B1C61A" w14:textId="77777777" w:rsidR="00D6304D" w:rsidRDefault="008F6C79">
            <w:pPr>
              <w:spacing w:after="0"/>
            </w:pPr>
            <w:r>
              <w:rPr>
                <w:rFonts w:ascii="Arial" w:eastAsia="Arial" w:hAnsi="Arial" w:cs="Arial"/>
                <w:i/>
                <w:color w:val="1F3864"/>
              </w:rPr>
              <w:t xml:space="preserve"> </w:t>
            </w:r>
          </w:p>
        </w:tc>
      </w:tr>
    </w:tbl>
    <w:p w14:paraId="0A6E76FC" w14:textId="77777777" w:rsidR="00D6304D" w:rsidRDefault="008F6C79">
      <w:pPr>
        <w:spacing w:after="0"/>
      </w:pPr>
      <w:r>
        <w:rPr>
          <w:rFonts w:ascii="Arial" w:eastAsia="Arial" w:hAnsi="Arial" w:cs="Arial"/>
          <w:b/>
          <w:sz w:val="18"/>
        </w:rPr>
        <w:t xml:space="preserve"> </w:t>
      </w:r>
    </w:p>
    <w:p w14:paraId="4AD75193" w14:textId="77777777" w:rsidR="00D6304D" w:rsidRDefault="008F6C79">
      <w:pPr>
        <w:spacing w:after="0"/>
      </w:pPr>
      <w:r>
        <w:rPr>
          <w:rFonts w:ascii="Arial" w:eastAsia="Arial" w:hAnsi="Arial" w:cs="Arial"/>
          <w:b/>
          <w:sz w:val="18"/>
        </w:rPr>
        <w:t xml:space="preserve"> </w:t>
      </w:r>
    </w:p>
    <w:sectPr w:rsidR="00D6304D">
      <w:pgSz w:w="12240" w:h="15840"/>
      <w:pgMar w:top="240" w:right="1440"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4925E1"/>
    <w:multiLevelType w:val="hybridMultilevel"/>
    <w:tmpl w:val="AB3A7310"/>
    <w:lvl w:ilvl="0" w:tplc="BEB6CEF0">
      <w:start w:val="1"/>
      <w:numFmt w:val="decimal"/>
      <w:lvlText w:val="%1."/>
      <w:lvlJc w:val="left"/>
      <w:pPr>
        <w:ind w:left="360"/>
      </w:pPr>
      <w:rPr>
        <w:rFonts w:ascii="Arial" w:eastAsia="Arial" w:hAnsi="Arial" w:cs="Arial"/>
        <w:b w:val="0"/>
        <w:i w:val="0"/>
        <w:strike w:val="0"/>
        <w:dstrike w:val="0"/>
        <w:color w:val="203864"/>
        <w:sz w:val="22"/>
        <w:szCs w:val="22"/>
        <w:u w:val="none" w:color="000000"/>
        <w:bdr w:val="none" w:sz="0" w:space="0" w:color="auto"/>
        <w:shd w:val="clear" w:color="auto" w:fill="auto"/>
        <w:vertAlign w:val="baseline"/>
      </w:rPr>
    </w:lvl>
    <w:lvl w:ilvl="1" w:tplc="4B8EFCFA">
      <w:start w:val="1"/>
      <w:numFmt w:val="bullet"/>
      <w:lvlText w:val="•"/>
      <w:lvlJc w:val="left"/>
      <w:pPr>
        <w:ind w:left="1080"/>
      </w:pPr>
      <w:rPr>
        <w:rFonts w:ascii="Arial" w:eastAsia="Arial" w:hAnsi="Arial" w:cs="Arial"/>
        <w:b w:val="0"/>
        <w:i w:val="0"/>
        <w:strike w:val="0"/>
        <w:dstrike w:val="0"/>
        <w:color w:val="203864"/>
        <w:sz w:val="22"/>
        <w:szCs w:val="22"/>
        <w:u w:val="none" w:color="000000"/>
        <w:bdr w:val="none" w:sz="0" w:space="0" w:color="auto"/>
        <w:shd w:val="clear" w:color="auto" w:fill="auto"/>
        <w:vertAlign w:val="baseline"/>
      </w:rPr>
    </w:lvl>
    <w:lvl w:ilvl="2" w:tplc="CF462AD2">
      <w:start w:val="1"/>
      <w:numFmt w:val="bullet"/>
      <w:lvlText w:val="▪"/>
      <w:lvlJc w:val="left"/>
      <w:pPr>
        <w:ind w:left="1904"/>
      </w:pPr>
      <w:rPr>
        <w:rFonts w:ascii="Segoe UI Symbol" w:eastAsia="Segoe UI Symbol" w:hAnsi="Segoe UI Symbol" w:cs="Segoe UI Symbol"/>
        <w:b w:val="0"/>
        <w:i w:val="0"/>
        <w:strike w:val="0"/>
        <w:dstrike w:val="0"/>
        <w:color w:val="203864"/>
        <w:sz w:val="22"/>
        <w:szCs w:val="22"/>
        <w:u w:val="none" w:color="000000"/>
        <w:bdr w:val="none" w:sz="0" w:space="0" w:color="auto"/>
        <w:shd w:val="clear" w:color="auto" w:fill="auto"/>
        <w:vertAlign w:val="baseline"/>
      </w:rPr>
    </w:lvl>
    <w:lvl w:ilvl="3" w:tplc="072ED998">
      <w:start w:val="1"/>
      <w:numFmt w:val="bullet"/>
      <w:lvlText w:val="•"/>
      <w:lvlJc w:val="left"/>
      <w:pPr>
        <w:ind w:left="2624"/>
      </w:pPr>
      <w:rPr>
        <w:rFonts w:ascii="Arial" w:eastAsia="Arial" w:hAnsi="Arial" w:cs="Arial"/>
        <w:b w:val="0"/>
        <w:i w:val="0"/>
        <w:strike w:val="0"/>
        <w:dstrike w:val="0"/>
        <w:color w:val="203864"/>
        <w:sz w:val="22"/>
        <w:szCs w:val="22"/>
        <w:u w:val="none" w:color="000000"/>
        <w:bdr w:val="none" w:sz="0" w:space="0" w:color="auto"/>
        <w:shd w:val="clear" w:color="auto" w:fill="auto"/>
        <w:vertAlign w:val="baseline"/>
      </w:rPr>
    </w:lvl>
    <w:lvl w:ilvl="4" w:tplc="5FD4BA26">
      <w:start w:val="1"/>
      <w:numFmt w:val="bullet"/>
      <w:lvlText w:val="o"/>
      <w:lvlJc w:val="left"/>
      <w:pPr>
        <w:ind w:left="3344"/>
      </w:pPr>
      <w:rPr>
        <w:rFonts w:ascii="Segoe UI Symbol" w:eastAsia="Segoe UI Symbol" w:hAnsi="Segoe UI Symbol" w:cs="Segoe UI Symbol"/>
        <w:b w:val="0"/>
        <w:i w:val="0"/>
        <w:strike w:val="0"/>
        <w:dstrike w:val="0"/>
        <w:color w:val="203864"/>
        <w:sz w:val="22"/>
        <w:szCs w:val="22"/>
        <w:u w:val="none" w:color="000000"/>
        <w:bdr w:val="none" w:sz="0" w:space="0" w:color="auto"/>
        <w:shd w:val="clear" w:color="auto" w:fill="auto"/>
        <w:vertAlign w:val="baseline"/>
      </w:rPr>
    </w:lvl>
    <w:lvl w:ilvl="5" w:tplc="D4C04E32">
      <w:start w:val="1"/>
      <w:numFmt w:val="bullet"/>
      <w:lvlText w:val="▪"/>
      <w:lvlJc w:val="left"/>
      <w:pPr>
        <w:ind w:left="4064"/>
      </w:pPr>
      <w:rPr>
        <w:rFonts w:ascii="Segoe UI Symbol" w:eastAsia="Segoe UI Symbol" w:hAnsi="Segoe UI Symbol" w:cs="Segoe UI Symbol"/>
        <w:b w:val="0"/>
        <w:i w:val="0"/>
        <w:strike w:val="0"/>
        <w:dstrike w:val="0"/>
        <w:color w:val="203864"/>
        <w:sz w:val="22"/>
        <w:szCs w:val="22"/>
        <w:u w:val="none" w:color="000000"/>
        <w:bdr w:val="none" w:sz="0" w:space="0" w:color="auto"/>
        <w:shd w:val="clear" w:color="auto" w:fill="auto"/>
        <w:vertAlign w:val="baseline"/>
      </w:rPr>
    </w:lvl>
    <w:lvl w:ilvl="6" w:tplc="3870A6CE">
      <w:start w:val="1"/>
      <w:numFmt w:val="bullet"/>
      <w:lvlText w:val="•"/>
      <w:lvlJc w:val="left"/>
      <w:pPr>
        <w:ind w:left="4784"/>
      </w:pPr>
      <w:rPr>
        <w:rFonts w:ascii="Arial" w:eastAsia="Arial" w:hAnsi="Arial" w:cs="Arial"/>
        <w:b w:val="0"/>
        <w:i w:val="0"/>
        <w:strike w:val="0"/>
        <w:dstrike w:val="0"/>
        <w:color w:val="203864"/>
        <w:sz w:val="22"/>
        <w:szCs w:val="22"/>
        <w:u w:val="none" w:color="000000"/>
        <w:bdr w:val="none" w:sz="0" w:space="0" w:color="auto"/>
        <w:shd w:val="clear" w:color="auto" w:fill="auto"/>
        <w:vertAlign w:val="baseline"/>
      </w:rPr>
    </w:lvl>
    <w:lvl w:ilvl="7" w:tplc="DA42D4FA">
      <w:start w:val="1"/>
      <w:numFmt w:val="bullet"/>
      <w:lvlText w:val="o"/>
      <w:lvlJc w:val="left"/>
      <w:pPr>
        <w:ind w:left="5504"/>
      </w:pPr>
      <w:rPr>
        <w:rFonts w:ascii="Segoe UI Symbol" w:eastAsia="Segoe UI Symbol" w:hAnsi="Segoe UI Symbol" w:cs="Segoe UI Symbol"/>
        <w:b w:val="0"/>
        <w:i w:val="0"/>
        <w:strike w:val="0"/>
        <w:dstrike w:val="0"/>
        <w:color w:val="203864"/>
        <w:sz w:val="22"/>
        <w:szCs w:val="22"/>
        <w:u w:val="none" w:color="000000"/>
        <w:bdr w:val="none" w:sz="0" w:space="0" w:color="auto"/>
        <w:shd w:val="clear" w:color="auto" w:fill="auto"/>
        <w:vertAlign w:val="baseline"/>
      </w:rPr>
    </w:lvl>
    <w:lvl w:ilvl="8" w:tplc="266EAE60">
      <w:start w:val="1"/>
      <w:numFmt w:val="bullet"/>
      <w:lvlText w:val="▪"/>
      <w:lvlJc w:val="left"/>
      <w:pPr>
        <w:ind w:left="6224"/>
      </w:pPr>
      <w:rPr>
        <w:rFonts w:ascii="Segoe UI Symbol" w:eastAsia="Segoe UI Symbol" w:hAnsi="Segoe UI Symbol" w:cs="Segoe UI Symbol"/>
        <w:b w:val="0"/>
        <w:i w:val="0"/>
        <w:strike w:val="0"/>
        <w:dstrike w:val="0"/>
        <w:color w:val="203864"/>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04D"/>
    <w:rsid w:val="008F6C79"/>
    <w:rsid w:val="00D63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16998"/>
  <w15:docId w15:val="{B27E2E5C-3A94-4ED7-A7A5-C235FF4C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F6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1304</Characters>
  <Application>Microsoft Office Word</Application>
  <DocSecurity>0</DocSecurity>
  <Lines>10</Lines>
  <Paragraphs>3</Paragraphs>
  <ScaleCrop>false</ScaleCrop>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Swick, Hannah</dc:creator>
  <cp:keywords/>
  <cp:lastModifiedBy>Nava, Julie</cp:lastModifiedBy>
  <cp:revision>2</cp:revision>
  <dcterms:created xsi:type="dcterms:W3CDTF">2021-08-05T13:56:00Z</dcterms:created>
  <dcterms:modified xsi:type="dcterms:W3CDTF">2021-08-05T13:56:00Z</dcterms:modified>
</cp:coreProperties>
</file>