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D48C" w14:textId="0DF6062F" w:rsidR="002F092F" w:rsidRDefault="002F092F" w:rsidP="001100D2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57EA3A" wp14:editId="3EE2FCBC">
            <wp:simplePos x="0" y="0"/>
            <wp:positionH relativeFrom="margin">
              <wp:align>center</wp:align>
            </wp:positionH>
            <wp:positionV relativeFrom="paragraph">
              <wp:posOffset>374</wp:posOffset>
            </wp:positionV>
            <wp:extent cx="1861820" cy="830580"/>
            <wp:effectExtent l="0" t="0" r="5080" b="7620"/>
            <wp:wrapTight wrapText="bothSides">
              <wp:wrapPolygon edited="0">
                <wp:start x="0" y="0"/>
                <wp:lineTo x="0" y="21303"/>
                <wp:lineTo x="21438" y="21303"/>
                <wp:lineTo x="21438" y="0"/>
                <wp:lineTo x="0" y="0"/>
              </wp:wrapPolygon>
            </wp:wrapTight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23" r="33834" b="27675"/>
                    <a:stretch/>
                  </pic:blipFill>
                  <pic:spPr bwMode="auto">
                    <a:xfrm>
                      <a:off x="0" y="0"/>
                      <a:ext cx="1861820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880FE" w14:textId="77777777" w:rsidR="002F092F" w:rsidRDefault="002F092F" w:rsidP="001100D2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4B8CD174" w14:textId="77777777" w:rsidR="002F092F" w:rsidRDefault="002F092F" w:rsidP="001100D2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51FF7CB5" w14:textId="4C21401F" w:rsidR="002F092F" w:rsidRDefault="002F092F" w:rsidP="001100D2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Students’ Classroom</w:t>
      </w:r>
      <w:r w:rsidR="008B3028" w:rsidRPr="00A439B8">
        <w:rPr>
          <w:rFonts w:ascii="Verdana" w:hAnsi="Verdana" w:cs="Times New Roman"/>
          <w:b/>
          <w:bCs/>
          <w:sz w:val="24"/>
          <w:szCs w:val="24"/>
        </w:rPr>
        <w:t xml:space="preserve"> Experiences with Diversity, Equity, and Inclusion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14:paraId="005A1C9F" w14:textId="263B74E0" w:rsidR="0021706E" w:rsidRDefault="002F092F" w:rsidP="001100D2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2022 Teaching &amp; Assessment Symposium</w:t>
      </w:r>
    </w:p>
    <w:p w14:paraId="6AC67570" w14:textId="3977A680" w:rsidR="00D01193" w:rsidRPr="00D01193" w:rsidRDefault="00D01193" w:rsidP="00D01193">
      <w:pPr>
        <w:rPr>
          <w:rFonts w:ascii="Verdana" w:hAnsi="Verdana" w:cs="Times New Roman"/>
          <w:sz w:val="24"/>
          <w:szCs w:val="24"/>
        </w:rPr>
      </w:pPr>
      <w:r w:rsidRPr="00D01193">
        <w:rPr>
          <w:rFonts w:ascii="Verdana" w:hAnsi="Verdana" w:cs="Times New Roman"/>
          <w:sz w:val="24"/>
          <w:szCs w:val="24"/>
        </w:rPr>
        <w:t>During this March 2022 panel students shared their experiences in UNC classrooms and discussed things that instructors can do to support student success.</w:t>
      </w:r>
    </w:p>
    <w:p w14:paraId="3CA2D64A" w14:textId="29B86A17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Address DEI statements when reviewing syllabus</w:t>
      </w:r>
      <w:r w:rsidR="00134EE5" w:rsidRPr="00A439B8">
        <w:rPr>
          <w:rFonts w:ascii="Verdana" w:hAnsi="Verdana" w:cs="Times New Roman"/>
          <w:sz w:val="24"/>
          <w:szCs w:val="24"/>
        </w:rPr>
        <w:t xml:space="preserve"> (don’t pass over that part)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. Showing an understanding and appreciation for DEI </w:t>
      </w:r>
      <w:r w:rsidRPr="00A439B8">
        <w:rPr>
          <w:rFonts w:ascii="Verdana" w:hAnsi="Verdana" w:cs="Times New Roman"/>
          <w:sz w:val="24"/>
          <w:szCs w:val="24"/>
        </w:rPr>
        <w:t>makes students feel important and supported</w:t>
      </w:r>
      <w:r w:rsidR="00F97F07" w:rsidRPr="00A439B8">
        <w:rPr>
          <w:rFonts w:ascii="Verdana" w:hAnsi="Verdana" w:cs="Times New Roman"/>
          <w:sz w:val="24"/>
          <w:szCs w:val="24"/>
        </w:rPr>
        <w:t>.</w:t>
      </w:r>
    </w:p>
    <w:p w14:paraId="61637A7A" w14:textId="35533B05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Faculty and staff should have knowledge of all resources on campus or at least how to find those resources. Students don’t know what they don’t know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 so having someone who can be like “Have you heard of our Disability Resource Center?” is a huge benefit. </w:t>
      </w:r>
    </w:p>
    <w:p w14:paraId="007C6A84" w14:textId="45E809BD" w:rsidR="00DE4F92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 xml:space="preserve">Ask for names and pronouns of students (in a private manner so as not to </w:t>
      </w:r>
      <w:proofErr w:type="spellStart"/>
      <w:r w:rsidRPr="00A439B8">
        <w:rPr>
          <w:rFonts w:ascii="Verdana" w:hAnsi="Verdana" w:cs="Times New Roman"/>
          <w:sz w:val="24"/>
          <w:szCs w:val="24"/>
        </w:rPr>
        <w:t>out</w:t>
      </w:r>
      <w:proofErr w:type="spellEnd"/>
      <w:r w:rsidRPr="00A439B8">
        <w:rPr>
          <w:rFonts w:ascii="Verdana" w:hAnsi="Verdana" w:cs="Times New Roman"/>
          <w:sz w:val="24"/>
          <w:szCs w:val="24"/>
        </w:rPr>
        <w:t xml:space="preserve"> them in fro</w:t>
      </w:r>
      <w:r w:rsidR="00DE4F92" w:rsidRPr="00A439B8">
        <w:rPr>
          <w:rFonts w:ascii="Verdana" w:hAnsi="Verdana" w:cs="Times New Roman"/>
          <w:sz w:val="24"/>
          <w:szCs w:val="24"/>
        </w:rPr>
        <w:t>nt</w:t>
      </w:r>
      <w:r w:rsidRPr="00A439B8">
        <w:rPr>
          <w:rFonts w:ascii="Verdana" w:hAnsi="Verdana" w:cs="Times New Roman"/>
          <w:sz w:val="24"/>
          <w:szCs w:val="24"/>
        </w:rPr>
        <w:t xml:space="preserve"> of others)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 and then use those when addressing the student. </w:t>
      </w:r>
    </w:p>
    <w:p w14:paraId="615159AA" w14:textId="3ADB0C87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Be understanding that medical issues happen and not everyone can get a formal documentation for a DRC accommodation</w:t>
      </w:r>
      <w:r w:rsidR="00F97F07" w:rsidRPr="00A439B8">
        <w:rPr>
          <w:rFonts w:ascii="Verdana" w:hAnsi="Verdana" w:cs="Times New Roman"/>
          <w:sz w:val="24"/>
          <w:szCs w:val="24"/>
        </w:rPr>
        <w:t>.</w:t>
      </w:r>
    </w:p>
    <w:p w14:paraId="3512D5DF" w14:textId="654F5655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Believe students when they share their medical issue with you</w:t>
      </w:r>
      <w:r w:rsidR="00F97F07" w:rsidRPr="00A439B8">
        <w:rPr>
          <w:rFonts w:ascii="Verdana" w:hAnsi="Verdana" w:cs="Times New Roman"/>
          <w:sz w:val="24"/>
          <w:szCs w:val="24"/>
        </w:rPr>
        <w:t>. If</w:t>
      </w:r>
      <w:r w:rsidRPr="00A439B8">
        <w:rPr>
          <w:rFonts w:ascii="Verdana" w:hAnsi="Verdana" w:cs="Times New Roman"/>
          <w:sz w:val="24"/>
          <w:szCs w:val="24"/>
        </w:rPr>
        <w:t xml:space="preserve"> they are sharing 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their condition, </w:t>
      </w:r>
      <w:r w:rsidRPr="00A439B8">
        <w:rPr>
          <w:rFonts w:ascii="Verdana" w:hAnsi="Verdana" w:cs="Times New Roman"/>
          <w:sz w:val="24"/>
          <w:szCs w:val="24"/>
        </w:rPr>
        <w:t>they are trusting you to know</w:t>
      </w:r>
      <w:r w:rsidR="00F97F07" w:rsidRPr="00A439B8">
        <w:rPr>
          <w:rFonts w:ascii="Verdana" w:hAnsi="Verdana" w:cs="Times New Roman"/>
          <w:sz w:val="24"/>
          <w:szCs w:val="24"/>
        </w:rPr>
        <w:t>.</w:t>
      </w:r>
    </w:p>
    <w:p w14:paraId="4DE4D0E4" w14:textId="53332961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Don’t out students who do have DRC accommodations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 in front of others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. Be </w:t>
      </w:r>
      <w:r w:rsidRPr="00A439B8">
        <w:rPr>
          <w:rFonts w:ascii="Verdana" w:hAnsi="Verdana" w:cs="Times New Roman"/>
          <w:sz w:val="24"/>
          <w:szCs w:val="24"/>
        </w:rPr>
        <w:t>accepting and use them as they should be used</w:t>
      </w:r>
      <w:r w:rsidR="00F97F07" w:rsidRPr="00A439B8">
        <w:rPr>
          <w:rFonts w:ascii="Verdana" w:hAnsi="Verdana" w:cs="Times New Roman"/>
          <w:sz w:val="24"/>
          <w:szCs w:val="24"/>
        </w:rPr>
        <w:t xml:space="preserve">. </w:t>
      </w:r>
    </w:p>
    <w:p w14:paraId="552243EF" w14:textId="26A1DAB2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Make sure technology is accommodating</w:t>
      </w:r>
      <w:r w:rsidR="00797CC4" w:rsidRPr="00A439B8">
        <w:rPr>
          <w:rFonts w:ascii="Verdana" w:hAnsi="Verdana" w:cs="Times New Roman"/>
          <w:sz w:val="24"/>
          <w:szCs w:val="24"/>
        </w:rPr>
        <w:t>,</w:t>
      </w:r>
      <w:r w:rsidRPr="00A439B8">
        <w:rPr>
          <w:rFonts w:ascii="Verdana" w:hAnsi="Verdana" w:cs="Times New Roman"/>
          <w:sz w:val="24"/>
          <w:szCs w:val="24"/>
        </w:rPr>
        <w:t xml:space="preserve"> such as having closed captions 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on videos </w:t>
      </w:r>
      <w:r w:rsidRPr="00A439B8">
        <w:rPr>
          <w:rFonts w:ascii="Verdana" w:hAnsi="Verdana" w:cs="Times New Roman"/>
          <w:sz w:val="24"/>
          <w:szCs w:val="24"/>
        </w:rPr>
        <w:t xml:space="preserve">and using 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a </w:t>
      </w:r>
      <w:r w:rsidRPr="00A439B8">
        <w:rPr>
          <w:rFonts w:ascii="Verdana" w:hAnsi="Verdana" w:cs="Times New Roman"/>
          <w:sz w:val="24"/>
          <w:szCs w:val="24"/>
        </w:rPr>
        <w:t>microphone during lecture</w:t>
      </w:r>
      <w:r w:rsidR="00797CC4" w:rsidRPr="00A439B8">
        <w:rPr>
          <w:rFonts w:ascii="Verdana" w:hAnsi="Verdana" w:cs="Times New Roman"/>
          <w:sz w:val="24"/>
          <w:szCs w:val="24"/>
        </w:rPr>
        <w:t>.</w:t>
      </w:r>
    </w:p>
    <w:p w14:paraId="1B7B90E9" w14:textId="18E3E753" w:rsidR="008B3028" w:rsidRPr="00A439B8" w:rsidRDefault="008B3028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Be aware that not all students can afford additional course materials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. Please post all your required materials with the bookstore so that students are aware of material cost before the start of the semester. </w:t>
      </w:r>
    </w:p>
    <w:p w14:paraId="0904A777" w14:textId="6A46CCF7" w:rsidR="0069343E" w:rsidRPr="00A439B8" w:rsidRDefault="0069343E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 xml:space="preserve">Highlight </w:t>
      </w:r>
      <w:r w:rsidR="00450865" w:rsidRPr="00A439B8">
        <w:rPr>
          <w:rFonts w:ascii="Verdana" w:hAnsi="Verdana" w:cs="Times New Roman"/>
          <w:sz w:val="24"/>
          <w:szCs w:val="24"/>
        </w:rPr>
        <w:t>work from marginalized populations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. Don’t just use </w:t>
      </w:r>
      <w:r w:rsidRPr="00A439B8">
        <w:rPr>
          <w:rFonts w:ascii="Verdana" w:hAnsi="Verdana" w:cs="Times New Roman"/>
          <w:sz w:val="24"/>
          <w:szCs w:val="24"/>
        </w:rPr>
        <w:t>resources from white males</w:t>
      </w:r>
      <w:r w:rsidR="00797CC4" w:rsidRPr="00A439B8">
        <w:rPr>
          <w:rFonts w:ascii="Verdana" w:hAnsi="Verdana" w:cs="Times New Roman"/>
          <w:sz w:val="24"/>
          <w:szCs w:val="24"/>
        </w:rPr>
        <w:t>.</w:t>
      </w:r>
    </w:p>
    <w:p w14:paraId="15A93673" w14:textId="6FE0A70D" w:rsidR="0069343E" w:rsidRPr="00A439B8" w:rsidRDefault="0069343E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 xml:space="preserve">Share historical and current events that are relevant to the discipline </w:t>
      </w:r>
      <w:r w:rsidR="00797CC4" w:rsidRPr="00A439B8">
        <w:rPr>
          <w:rFonts w:ascii="Verdana" w:hAnsi="Verdana" w:cs="Times New Roman"/>
          <w:sz w:val="24"/>
          <w:szCs w:val="24"/>
        </w:rPr>
        <w:t>and</w:t>
      </w:r>
      <w:r w:rsidRPr="00A439B8">
        <w:rPr>
          <w:rFonts w:ascii="Verdana" w:hAnsi="Verdana" w:cs="Times New Roman"/>
          <w:sz w:val="24"/>
          <w:szCs w:val="24"/>
        </w:rPr>
        <w:t xml:space="preserve"> show inclusivity (i.e.: talk about Black scientists </w:t>
      </w:r>
      <w:r w:rsidR="00EA1BB6">
        <w:rPr>
          <w:rFonts w:ascii="Verdana" w:hAnsi="Verdana" w:cs="Times New Roman"/>
          <w:sz w:val="24"/>
          <w:szCs w:val="24"/>
        </w:rPr>
        <w:t>(and not just during</w:t>
      </w:r>
      <w:r w:rsidRPr="00A439B8">
        <w:rPr>
          <w:rFonts w:ascii="Verdana" w:hAnsi="Verdana" w:cs="Times New Roman"/>
          <w:sz w:val="24"/>
          <w:szCs w:val="24"/>
        </w:rPr>
        <w:t xml:space="preserve"> Black History Month</w:t>
      </w:r>
      <w:r w:rsidR="00EA1BB6">
        <w:rPr>
          <w:rFonts w:ascii="Verdana" w:hAnsi="Verdana" w:cs="Times New Roman"/>
          <w:sz w:val="24"/>
          <w:szCs w:val="24"/>
        </w:rPr>
        <w:t>)</w:t>
      </w:r>
      <w:r w:rsidRPr="00A439B8">
        <w:rPr>
          <w:rFonts w:ascii="Verdana" w:hAnsi="Verdana" w:cs="Times New Roman"/>
          <w:sz w:val="24"/>
          <w:szCs w:val="24"/>
        </w:rPr>
        <w:t xml:space="preserve">, talk about current issues impacting </w:t>
      </w:r>
      <w:r w:rsidR="00797CC4" w:rsidRPr="00A439B8">
        <w:rPr>
          <w:rFonts w:ascii="Verdana" w:hAnsi="Verdana" w:cs="Times New Roman"/>
          <w:sz w:val="24"/>
          <w:szCs w:val="24"/>
        </w:rPr>
        <w:t>students of color</w:t>
      </w:r>
      <w:r w:rsidRPr="00A439B8">
        <w:rPr>
          <w:rFonts w:ascii="Verdana" w:hAnsi="Verdana" w:cs="Times New Roman"/>
          <w:sz w:val="24"/>
          <w:szCs w:val="24"/>
        </w:rPr>
        <w:t>)</w:t>
      </w:r>
      <w:r w:rsidR="00797CC4" w:rsidRPr="00A439B8">
        <w:rPr>
          <w:rFonts w:ascii="Verdana" w:hAnsi="Verdana" w:cs="Times New Roman"/>
          <w:sz w:val="24"/>
          <w:szCs w:val="24"/>
        </w:rPr>
        <w:t>.</w:t>
      </w:r>
    </w:p>
    <w:p w14:paraId="605614F3" w14:textId="1333CC5D" w:rsidR="0069343E" w:rsidRPr="00A439B8" w:rsidRDefault="0069343E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lastRenderedPageBreak/>
        <w:t xml:space="preserve">Before lecture, take a few minutes </w:t>
      </w:r>
      <w:r w:rsidR="00134EE5" w:rsidRPr="00A439B8">
        <w:rPr>
          <w:rFonts w:ascii="Verdana" w:hAnsi="Verdana" w:cs="Times New Roman"/>
          <w:sz w:val="24"/>
          <w:szCs w:val="24"/>
        </w:rPr>
        <w:t xml:space="preserve">to announce reminders of </w:t>
      </w:r>
      <w:r w:rsidR="00797CC4" w:rsidRPr="00A439B8">
        <w:rPr>
          <w:rFonts w:ascii="Verdana" w:hAnsi="Verdana" w:cs="Times New Roman"/>
          <w:sz w:val="24"/>
          <w:szCs w:val="24"/>
        </w:rPr>
        <w:t>upcoming deadlines/exams</w:t>
      </w:r>
      <w:r w:rsidR="00134EE5" w:rsidRPr="00A439B8">
        <w:rPr>
          <w:rFonts w:ascii="Verdana" w:hAnsi="Verdana" w:cs="Times New Roman"/>
          <w:sz w:val="24"/>
          <w:szCs w:val="24"/>
        </w:rPr>
        <w:t>. Student</w:t>
      </w:r>
      <w:r w:rsidR="00797CC4" w:rsidRPr="00A439B8">
        <w:rPr>
          <w:rFonts w:ascii="Verdana" w:hAnsi="Verdana" w:cs="Times New Roman"/>
          <w:sz w:val="24"/>
          <w:szCs w:val="24"/>
        </w:rPr>
        <w:t>s</w:t>
      </w:r>
      <w:r w:rsidR="00134EE5" w:rsidRPr="00A439B8">
        <w:rPr>
          <w:rFonts w:ascii="Verdana" w:hAnsi="Verdana" w:cs="Times New Roman"/>
          <w:sz w:val="24"/>
          <w:szCs w:val="24"/>
        </w:rPr>
        <w:t xml:space="preserve"> shared 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that </w:t>
      </w:r>
      <w:r w:rsidR="00134EE5" w:rsidRPr="00A439B8">
        <w:rPr>
          <w:rFonts w:ascii="Verdana" w:hAnsi="Verdana" w:cs="Times New Roman"/>
          <w:sz w:val="24"/>
          <w:szCs w:val="24"/>
        </w:rPr>
        <w:t>getting reminders about the upcoming week Sunday night via Canvas is helpful too.</w:t>
      </w:r>
    </w:p>
    <w:p w14:paraId="03C9B606" w14:textId="761A5145" w:rsidR="00134EE5" w:rsidRPr="00A439B8" w:rsidRDefault="00134EE5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b/>
          <w:bCs/>
          <w:sz w:val="24"/>
          <w:szCs w:val="24"/>
        </w:rPr>
        <w:t>Students love Canvas!</w:t>
      </w:r>
      <w:r w:rsidRPr="00A439B8">
        <w:rPr>
          <w:rFonts w:ascii="Verdana" w:hAnsi="Verdana" w:cs="Times New Roman"/>
          <w:sz w:val="24"/>
          <w:szCs w:val="24"/>
        </w:rPr>
        <w:t xml:space="preserve"> Please use it to post deadlines, grades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 </w:t>
      </w:r>
      <w:r w:rsidRPr="00A439B8">
        <w:rPr>
          <w:rFonts w:ascii="Verdana" w:hAnsi="Verdana" w:cs="Times New Roman"/>
          <w:sz w:val="24"/>
          <w:szCs w:val="24"/>
        </w:rPr>
        <w:t>and reminders.</w:t>
      </w:r>
    </w:p>
    <w:p w14:paraId="372E2B1D" w14:textId="18243FD0" w:rsidR="00134EE5" w:rsidRPr="00A439B8" w:rsidRDefault="00134EE5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 xml:space="preserve">Having a grading rubric is helpful for students to understand what you expect from them on their assignments. </w:t>
      </w:r>
    </w:p>
    <w:p w14:paraId="41B0DAD7" w14:textId="62975421" w:rsidR="00134EE5" w:rsidRPr="00A439B8" w:rsidRDefault="00134EE5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Give timely feedback</w:t>
      </w:r>
      <w:r w:rsidR="00797CC4" w:rsidRPr="00A439B8">
        <w:rPr>
          <w:rFonts w:ascii="Verdana" w:hAnsi="Verdana" w:cs="Times New Roman"/>
          <w:sz w:val="24"/>
          <w:szCs w:val="24"/>
        </w:rPr>
        <w:t>. G</w:t>
      </w:r>
      <w:r w:rsidRPr="00A439B8">
        <w:rPr>
          <w:rFonts w:ascii="Verdana" w:hAnsi="Verdana" w:cs="Times New Roman"/>
          <w:sz w:val="24"/>
          <w:szCs w:val="24"/>
        </w:rPr>
        <w:t xml:space="preserve">rade and return assignments back quickly so the material is still fresh in their </w:t>
      </w:r>
      <w:r w:rsidR="00450865" w:rsidRPr="00A439B8">
        <w:rPr>
          <w:rFonts w:ascii="Verdana" w:hAnsi="Verdana" w:cs="Times New Roman"/>
          <w:sz w:val="24"/>
          <w:szCs w:val="24"/>
        </w:rPr>
        <w:t>minds,</w:t>
      </w:r>
      <w:r w:rsidRPr="00A439B8">
        <w:rPr>
          <w:rFonts w:ascii="Verdana" w:hAnsi="Verdana" w:cs="Times New Roman"/>
          <w:sz w:val="24"/>
          <w:szCs w:val="24"/>
        </w:rPr>
        <w:t xml:space="preserve"> and they know what they did wrong</w:t>
      </w:r>
      <w:r w:rsidR="00797CC4" w:rsidRPr="00A439B8">
        <w:rPr>
          <w:rFonts w:ascii="Verdana" w:hAnsi="Verdana" w:cs="Times New Roman"/>
          <w:sz w:val="24"/>
          <w:szCs w:val="24"/>
        </w:rPr>
        <w:t xml:space="preserve"> for moving forward. </w:t>
      </w:r>
    </w:p>
    <w:p w14:paraId="7CFD3AD2" w14:textId="3E2D9688" w:rsidR="00134EE5" w:rsidRPr="00A439B8" w:rsidRDefault="00134EE5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As</w:t>
      </w:r>
      <w:r w:rsidR="00797CC4" w:rsidRPr="00A439B8">
        <w:rPr>
          <w:rFonts w:ascii="Verdana" w:hAnsi="Verdana" w:cs="Times New Roman"/>
          <w:sz w:val="24"/>
          <w:szCs w:val="24"/>
        </w:rPr>
        <w:t>k</w:t>
      </w:r>
      <w:r w:rsidRPr="00A439B8">
        <w:rPr>
          <w:rFonts w:ascii="Verdana" w:hAnsi="Verdana" w:cs="Times New Roman"/>
          <w:sz w:val="24"/>
          <w:szCs w:val="24"/>
        </w:rPr>
        <w:t xml:space="preserve"> for feedback (a few times during the semester and then also at the end of the semester via the course evaluation</w:t>
      </w:r>
      <w:r w:rsidR="00450865" w:rsidRPr="00A439B8">
        <w:rPr>
          <w:rFonts w:ascii="Verdana" w:hAnsi="Verdana" w:cs="Times New Roman"/>
          <w:sz w:val="24"/>
          <w:szCs w:val="24"/>
        </w:rPr>
        <w:t xml:space="preserve"> process</w:t>
      </w:r>
      <w:r w:rsidRPr="00A439B8">
        <w:rPr>
          <w:rFonts w:ascii="Verdana" w:hAnsi="Verdana" w:cs="Times New Roman"/>
          <w:sz w:val="24"/>
          <w:szCs w:val="24"/>
        </w:rPr>
        <w:t xml:space="preserve">) and then really reflect on the negative feedback given to make </w:t>
      </w:r>
      <w:r w:rsidR="00450865" w:rsidRPr="00A439B8">
        <w:rPr>
          <w:rFonts w:ascii="Verdana" w:hAnsi="Verdana" w:cs="Times New Roman"/>
          <w:sz w:val="24"/>
          <w:szCs w:val="24"/>
        </w:rPr>
        <w:t xml:space="preserve">positive </w:t>
      </w:r>
      <w:r w:rsidRPr="00A439B8">
        <w:rPr>
          <w:rFonts w:ascii="Verdana" w:hAnsi="Verdana" w:cs="Times New Roman"/>
          <w:sz w:val="24"/>
          <w:szCs w:val="24"/>
        </w:rPr>
        <w:t>change.</w:t>
      </w:r>
    </w:p>
    <w:p w14:paraId="16A63457" w14:textId="77777777" w:rsidR="00450865" w:rsidRPr="00A439B8" w:rsidRDefault="00450865" w:rsidP="00450865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 xml:space="preserve">Check in on your students to let them know you care and that you know who they are. Just saying “Hi So and So” at the beginning of class makes a big impression. </w:t>
      </w:r>
    </w:p>
    <w:p w14:paraId="46BECD97" w14:textId="4561E2EC" w:rsidR="00450865" w:rsidRPr="00A439B8" w:rsidRDefault="00450865" w:rsidP="00450865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A439B8">
        <w:rPr>
          <w:rFonts w:ascii="Verdana" w:hAnsi="Verdana" w:cs="Times New Roman"/>
          <w:sz w:val="24"/>
          <w:szCs w:val="24"/>
        </w:rPr>
        <w:t>Students like to see faculty at student events and like to get to know them outside of the classroom.</w:t>
      </w:r>
    </w:p>
    <w:p w14:paraId="109FCF57" w14:textId="48AABF20" w:rsidR="00134EE5" w:rsidRPr="004B460E" w:rsidRDefault="00DE4F92" w:rsidP="00DE4F92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A439B8">
        <w:rPr>
          <w:rFonts w:ascii="Verdana" w:hAnsi="Verdana" w:cs="Times New Roman"/>
          <w:sz w:val="24"/>
          <w:szCs w:val="24"/>
        </w:rPr>
        <w:t xml:space="preserve">“Be a person to us.” This is a powerful statement from one of the students. </w:t>
      </w:r>
    </w:p>
    <w:p w14:paraId="46D7F447" w14:textId="77777777" w:rsidR="004B460E" w:rsidRDefault="004B460E" w:rsidP="004B460E">
      <w:pPr>
        <w:spacing w:line="360" w:lineRule="auto"/>
        <w:rPr>
          <w:rFonts w:ascii="Verdana" w:hAnsi="Verdana"/>
        </w:rPr>
      </w:pPr>
    </w:p>
    <w:p w14:paraId="464EE5B6" w14:textId="77777777" w:rsidR="004B460E" w:rsidRDefault="004B460E" w:rsidP="004B460E">
      <w:pPr>
        <w:pStyle w:val="Footer"/>
        <w:rPr>
          <w:rFonts w:ascii="Verdana" w:hAnsi="Verdana"/>
        </w:rPr>
      </w:pPr>
    </w:p>
    <w:p w14:paraId="3AAF60B2" w14:textId="77777777" w:rsidR="004B460E" w:rsidRDefault="004B460E" w:rsidP="004B460E">
      <w:pPr>
        <w:pStyle w:val="Footer"/>
        <w:rPr>
          <w:rFonts w:ascii="Verdana" w:hAnsi="Verdana"/>
        </w:rPr>
      </w:pPr>
    </w:p>
    <w:p w14:paraId="01ECCBD1" w14:textId="77777777" w:rsidR="004B460E" w:rsidRDefault="004B460E" w:rsidP="004B460E">
      <w:pPr>
        <w:pStyle w:val="Footer"/>
        <w:rPr>
          <w:rFonts w:ascii="Verdana" w:hAnsi="Verdana"/>
        </w:rPr>
      </w:pPr>
    </w:p>
    <w:p w14:paraId="4E855F5D" w14:textId="77777777" w:rsidR="004B460E" w:rsidRDefault="004B460E" w:rsidP="004B460E">
      <w:pPr>
        <w:pStyle w:val="Footer"/>
        <w:rPr>
          <w:rFonts w:ascii="Verdana" w:hAnsi="Verdana"/>
        </w:rPr>
      </w:pPr>
    </w:p>
    <w:p w14:paraId="6FAF83D7" w14:textId="77777777" w:rsidR="004B460E" w:rsidRDefault="004B460E" w:rsidP="004B460E">
      <w:pPr>
        <w:pStyle w:val="Footer"/>
        <w:rPr>
          <w:rFonts w:ascii="Verdana" w:hAnsi="Verdana"/>
        </w:rPr>
      </w:pPr>
    </w:p>
    <w:p w14:paraId="3312D32C" w14:textId="77777777" w:rsidR="004B460E" w:rsidRDefault="004B460E" w:rsidP="004B460E">
      <w:pPr>
        <w:pStyle w:val="Footer"/>
        <w:rPr>
          <w:rFonts w:ascii="Verdana" w:hAnsi="Verdana"/>
        </w:rPr>
      </w:pPr>
    </w:p>
    <w:p w14:paraId="3C837703" w14:textId="77777777" w:rsidR="004B460E" w:rsidRDefault="004B460E" w:rsidP="004B460E">
      <w:pPr>
        <w:pStyle w:val="Footer"/>
        <w:rPr>
          <w:rFonts w:ascii="Verdana" w:hAnsi="Verdana"/>
        </w:rPr>
      </w:pPr>
    </w:p>
    <w:p w14:paraId="420D5665" w14:textId="77777777" w:rsidR="004B460E" w:rsidRDefault="004B460E" w:rsidP="004B460E">
      <w:pPr>
        <w:pStyle w:val="Footer"/>
        <w:rPr>
          <w:rFonts w:ascii="Verdana" w:hAnsi="Verdana"/>
        </w:rPr>
      </w:pPr>
    </w:p>
    <w:p w14:paraId="78BBDB52" w14:textId="77777777" w:rsidR="004B460E" w:rsidRDefault="004B460E" w:rsidP="004B460E">
      <w:pPr>
        <w:pStyle w:val="Footer"/>
        <w:rPr>
          <w:rFonts w:ascii="Verdana" w:hAnsi="Verdana"/>
        </w:rPr>
      </w:pPr>
    </w:p>
    <w:p w14:paraId="1252BD75" w14:textId="77777777" w:rsidR="004B460E" w:rsidRDefault="004B460E" w:rsidP="004B460E">
      <w:pPr>
        <w:pStyle w:val="Footer"/>
        <w:rPr>
          <w:rFonts w:ascii="Verdana" w:hAnsi="Verdana"/>
        </w:rPr>
      </w:pPr>
    </w:p>
    <w:p w14:paraId="70E77AE4" w14:textId="77777777" w:rsidR="004B460E" w:rsidRDefault="004B460E" w:rsidP="004B460E">
      <w:pPr>
        <w:pStyle w:val="Footer"/>
        <w:rPr>
          <w:rFonts w:ascii="Verdana" w:hAnsi="Verdana"/>
        </w:rPr>
      </w:pPr>
    </w:p>
    <w:p w14:paraId="0B359B50" w14:textId="77777777" w:rsidR="004B460E" w:rsidRDefault="004B460E" w:rsidP="004B460E">
      <w:pPr>
        <w:pStyle w:val="Footer"/>
        <w:rPr>
          <w:rFonts w:ascii="Verdana" w:hAnsi="Verdana"/>
        </w:rPr>
      </w:pPr>
    </w:p>
    <w:p w14:paraId="20A2BB1F" w14:textId="77777777" w:rsidR="004B460E" w:rsidRDefault="004B460E" w:rsidP="004B460E">
      <w:pPr>
        <w:pStyle w:val="Footer"/>
        <w:rPr>
          <w:rFonts w:ascii="Verdana" w:hAnsi="Verdana"/>
        </w:rPr>
      </w:pPr>
    </w:p>
    <w:p w14:paraId="4D68232D" w14:textId="77777777" w:rsidR="004B460E" w:rsidRDefault="004B460E" w:rsidP="004B460E">
      <w:pPr>
        <w:pStyle w:val="Footer"/>
        <w:rPr>
          <w:rFonts w:ascii="Verdana" w:hAnsi="Verdana"/>
        </w:rPr>
      </w:pPr>
    </w:p>
    <w:p w14:paraId="1EBBBD5B" w14:textId="77777777" w:rsidR="004B460E" w:rsidRDefault="004B460E" w:rsidP="004B460E">
      <w:pPr>
        <w:pStyle w:val="Footer"/>
        <w:rPr>
          <w:rFonts w:ascii="Verdana" w:hAnsi="Verdana"/>
        </w:rPr>
      </w:pPr>
    </w:p>
    <w:p w14:paraId="1B6CBC2F" w14:textId="77777777" w:rsidR="004B460E" w:rsidRDefault="004B460E" w:rsidP="004B460E">
      <w:pPr>
        <w:pStyle w:val="Footer"/>
        <w:rPr>
          <w:rFonts w:ascii="Verdana" w:hAnsi="Verdana"/>
        </w:rPr>
      </w:pPr>
    </w:p>
    <w:p w14:paraId="771FE1AE" w14:textId="77777777" w:rsidR="004B460E" w:rsidRDefault="004B460E" w:rsidP="004B460E">
      <w:pPr>
        <w:pStyle w:val="Footer"/>
        <w:rPr>
          <w:rFonts w:ascii="Verdana" w:hAnsi="Verdana"/>
        </w:rPr>
      </w:pPr>
    </w:p>
    <w:p w14:paraId="321AA8BA" w14:textId="77777777" w:rsidR="004B460E" w:rsidRDefault="004B460E" w:rsidP="004B460E">
      <w:pPr>
        <w:pStyle w:val="Footer"/>
        <w:rPr>
          <w:rFonts w:ascii="Verdana" w:hAnsi="Verdana"/>
        </w:rPr>
      </w:pPr>
    </w:p>
    <w:p w14:paraId="5E3D2E61" w14:textId="77777777" w:rsidR="004B460E" w:rsidRDefault="004B460E" w:rsidP="004B460E">
      <w:pPr>
        <w:pStyle w:val="Footer"/>
        <w:rPr>
          <w:rFonts w:ascii="Verdana" w:hAnsi="Verdana"/>
        </w:rPr>
      </w:pPr>
    </w:p>
    <w:p w14:paraId="02BEE2E5" w14:textId="77777777" w:rsidR="004B460E" w:rsidRDefault="004B460E" w:rsidP="004B460E">
      <w:pPr>
        <w:pStyle w:val="Footer"/>
        <w:rPr>
          <w:rFonts w:ascii="Verdana" w:hAnsi="Verdana"/>
        </w:rPr>
      </w:pPr>
    </w:p>
    <w:p w14:paraId="27DA1FD1" w14:textId="77777777" w:rsidR="004B460E" w:rsidRDefault="004B460E" w:rsidP="004B460E">
      <w:pPr>
        <w:pStyle w:val="Footer"/>
        <w:rPr>
          <w:rFonts w:ascii="Verdana" w:hAnsi="Verdana"/>
        </w:rPr>
      </w:pPr>
    </w:p>
    <w:p w14:paraId="38D3F1B9" w14:textId="760351FD" w:rsidR="004B460E" w:rsidRPr="00A439B8" w:rsidRDefault="004B460E" w:rsidP="004B460E">
      <w:pPr>
        <w:pStyle w:val="Footer"/>
        <w:rPr>
          <w:rFonts w:ascii="Verdana" w:hAnsi="Verdana"/>
        </w:rPr>
      </w:pPr>
      <w:r w:rsidRPr="00A439B8">
        <w:rPr>
          <w:rFonts w:ascii="Verdana" w:hAnsi="Verdana"/>
        </w:rPr>
        <w:t xml:space="preserve">This list </w:t>
      </w:r>
      <w:r>
        <w:rPr>
          <w:rFonts w:ascii="Verdana" w:hAnsi="Verdana"/>
        </w:rPr>
        <w:t xml:space="preserve">was </w:t>
      </w:r>
      <w:r w:rsidRPr="00A439B8">
        <w:rPr>
          <w:rFonts w:ascii="Verdana" w:hAnsi="Verdana"/>
        </w:rPr>
        <w:t xml:space="preserve">compiled by Becky Croissant, NHS, and shared with permission. </w:t>
      </w:r>
    </w:p>
    <w:p w14:paraId="4FB6F4A3" w14:textId="77777777" w:rsidR="004B460E" w:rsidRPr="004B460E" w:rsidRDefault="004B460E" w:rsidP="004B460E">
      <w:pPr>
        <w:spacing w:line="360" w:lineRule="auto"/>
        <w:rPr>
          <w:rFonts w:ascii="Verdana" w:hAnsi="Verdana"/>
        </w:rPr>
      </w:pPr>
    </w:p>
    <w:sectPr w:rsidR="004B460E" w:rsidRPr="004B460E" w:rsidSect="00D01193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0DB4" w14:textId="77777777" w:rsidR="007E4207" w:rsidRDefault="007E4207" w:rsidP="00A439B8">
      <w:pPr>
        <w:spacing w:after="0" w:line="240" w:lineRule="auto"/>
      </w:pPr>
      <w:r>
        <w:separator/>
      </w:r>
    </w:p>
  </w:endnote>
  <w:endnote w:type="continuationSeparator" w:id="0">
    <w:p w14:paraId="0C961517" w14:textId="77777777" w:rsidR="007E4207" w:rsidRDefault="007E4207" w:rsidP="00A4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ABB2" w14:textId="77777777" w:rsidR="007E4207" w:rsidRDefault="007E4207" w:rsidP="00A439B8">
      <w:pPr>
        <w:spacing w:after="0" w:line="240" w:lineRule="auto"/>
      </w:pPr>
      <w:r>
        <w:separator/>
      </w:r>
    </w:p>
  </w:footnote>
  <w:footnote w:type="continuationSeparator" w:id="0">
    <w:p w14:paraId="52B9F871" w14:textId="77777777" w:rsidR="007E4207" w:rsidRDefault="007E4207" w:rsidP="00A4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7200"/>
    <w:multiLevelType w:val="hybridMultilevel"/>
    <w:tmpl w:val="8C7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4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28"/>
    <w:rsid w:val="001100D2"/>
    <w:rsid w:val="00124B51"/>
    <w:rsid w:val="00134EE5"/>
    <w:rsid w:val="0021706E"/>
    <w:rsid w:val="002E0F5A"/>
    <w:rsid w:val="002F092F"/>
    <w:rsid w:val="00450865"/>
    <w:rsid w:val="004B460E"/>
    <w:rsid w:val="00604940"/>
    <w:rsid w:val="0069343E"/>
    <w:rsid w:val="00797CC4"/>
    <w:rsid w:val="007E4207"/>
    <w:rsid w:val="008B3028"/>
    <w:rsid w:val="00A439B8"/>
    <w:rsid w:val="00D01193"/>
    <w:rsid w:val="00DE4F92"/>
    <w:rsid w:val="00EA1BB6"/>
    <w:rsid w:val="00F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B13A"/>
  <w15:chartTrackingRefBased/>
  <w15:docId w15:val="{9AC7E729-DC50-4618-AE0C-5A12707F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B8"/>
  </w:style>
  <w:style w:type="paragraph" w:styleId="Footer">
    <w:name w:val="footer"/>
    <w:basedOn w:val="Normal"/>
    <w:link w:val="FooterChar"/>
    <w:uiPriority w:val="99"/>
    <w:unhideWhenUsed/>
    <w:rsid w:val="00A4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94918-31c6-45bc-ba8d-9f49fd99d26c">
      <Terms xmlns="http://schemas.microsoft.com/office/infopath/2007/PartnerControls"/>
    </lcf76f155ced4ddcb4097134ff3c332f>
    <TaxCatchAll xmlns="692dd6ed-53c3-4788-a3de-d9d1b0b64a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7" ma:contentTypeDescription="Create a new document." ma:contentTypeScope="" ma:versionID="a2a3e1c31eb37d7ab829337eaf5a0815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4534a209116f24fdadfb21a7bd89c5ae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5ca2c1-a508-4a7a-afd0-8be8eb1ce33d}" ma:internalName="TaxCatchAll" ma:showField="CatchAllData" ma:web="692dd6ed-53c3-4788-a3de-d9d1b0b64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773C6-D817-4090-8511-0538D3D67A48}">
  <ds:schemaRefs>
    <ds:schemaRef ds:uri="http://schemas.microsoft.com/office/2006/metadata/properties"/>
    <ds:schemaRef ds:uri="http://schemas.microsoft.com/office/infopath/2007/PartnerControls"/>
    <ds:schemaRef ds:uri="de494918-31c6-45bc-ba8d-9f49fd99d26c"/>
    <ds:schemaRef ds:uri="692dd6ed-53c3-4788-a3de-d9d1b0b64ad9"/>
  </ds:schemaRefs>
</ds:datastoreItem>
</file>

<file path=customXml/itemProps2.xml><?xml version="1.0" encoding="utf-8"?>
<ds:datastoreItem xmlns:ds="http://schemas.openxmlformats.org/officeDocument/2006/customXml" ds:itemID="{1535C5FC-03F8-40FD-9ADA-9A21E19D3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525C3-282B-4F70-8B57-144230D6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Croissant, Beckie</dc:creator>
  <cp:keywords/>
  <dc:description/>
  <cp:lastModifiedBy>McCartin, Lyda</cp:lastModifiedBy>
  <cp:revision>8</cp:revision>
  <dcterms:created xsi:type="dcterms:W3CDTF">2022-06-22T22:21:00Z</dcterms:created>
  <dcterms:modified xsi:type="dcterms:W3CDTF">2022-06-24T18:06:00Z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  <property fmtid="{D5CDD505-2E9C-101B-9397-08002B2CF9AE}" pid="3" name="MediaServiceImageTags">
    <vt:lpwstr/>
  </property>
</Properties>
</file>