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630" w:rsidP="27D31385" w:rsidRDefault="008E3630" w14:paraId="6C44CE09" w14:textId="337F369F">
      <w:pPr>
        <w:jc w:val="center"/>
        <w:rPr>
          <w:rFonts w:ascii="Times New Roman" w:hAnsi="Times New Roman" w:eastAsia="Times New Roman" w:cs="Times New Roman"/>
          <w:b w:val="1"/>
          <w:bCs w:val="1"/>
          <w:noProof w:val="0"/>
          <w:sz w:val="24"/>
          <w:szCs w:val="24"/>
          <w:lang w:val="en-US"/>
        </w:rPr>
      </w:pPr>
      <w:r w:rsidRPr="27D31385" w:rsidR="335BB2E6">
        <w:rPr>
          <w:rFonts w:ascii="Times New Roman" w:hAnsi="Times New Roman" w:eastAsia="Times New Roman" w:cs="Times New Roman"/>
          <w:b w:val="1"/>
          <w:bCs w:val="1"/>
          <w:noProof w:val="0"/>
          <w:sz w:val="24"/>
          <w:szCs w:val="24"/>
          <w:lang w:val="en-US"/>
        </w:rPr>
        <w:t>Redesigning an Existing Course</w:t>
      </w:r>
      <w:r w:rsidRPr="27D31385" w:rsidR="46D8501F">
        <w:rPr>
          <w:rFonts w:ascii="Times New Roman" w:hAnsi="Times New Roman" w:eastAsia="Times New Roman" w:cs="Times New Roman"/>
          <w:b w:val="1"/>
          <w:bCs w:val="1"/>
          <w:noProof w:val="0"/>
          <w:sz w:val="24"/>
          <w:szCs w:val="24"/>
          <w:lang w:val="en-US"/>
        </w:rPr>
        <w:t xml:space="preserve"> with Backward Design</w:t>
      </w:r>
    </w:p>
    <w:p w:rsidR="008E3630" w:rsidP="22AEBC85" w:rsidRDefault="008E3630" w14:paraId="1977630B" w14:textId="407DA5AA">
      <w:pPr>
        <w:jc w:val="left"/>
      </w:pPr>
      <w:r w:rsidRPr="22AEBC85" w:rsidR="335BB2E6">
        <w:rPr>
          <w:rFonts w:ascii="Times New Roman" w:hAnsi="Times New Roman" w:eastAsia="Times New Roman" w:cs="Times New Roman"/>
          <w:b w:val="1"/>
          <w:bCs w:val="1"/>
          <w:noProof w:val="0"/>
          <w:sz w:val="24"/>
          <w:szCs w:val="24"/>
          <w:lang w:val="en-US"/>
        </w:rPr>
        <w:t xml:space="preserve"> </w:t>
      </w:r>
    </w:p>
    <w:p w:rsidR="008E3630" w:rsidP="22AEBC85" w:rsidRDefault="008E3630" w14:paraId="3209398A" w14:textId="45B4AD00">
      <w:pPr>
        <w:jc w:val="left"/>
      </w:pPr>
      <w:r w:rsidRPr="22AEBC85" w:rsidR="335BB2E6">
        <w:rPr>
          <w:rFonts w:ascii="Times New Roman" w:hAnsi="Times New Roman" w:eastAsia="Times New Roman" w:cs="Times New Roman"/>
          <w:noProof w:val="0"/>
          <w:sz w:val="24"/>
          <w:szCs w:val="24"/>
          <w:lang w:val="en-US"/>
        </w:rPr>
        <w:t>Below are examples of how students may provide evidence of each of the six facets of understanding (Wiggins &amp; McTighe, 2005). This chart is useful for redesigning learning experiences and performance assessments in existing courses. Not all of the six facets of understanding will be applicable to every course or unit. Use this worksheet to plan how your students might demonstrate any or all of the six facets of understanding in your course.</w:t>
      </w:r>
    </w:p>
    <w:p w:rsidR="008E3630" w:rsidP="22AEBC85" w:rsidRDefault="008E3630" w14:paraId="54A67A9D" w14:textId="7222DB8A">
      <w:pPr>
        <w:pStyle w:val="Normal"/>
        <w:jc w:val="left"/>
        <w:rPr>
          <w:b w:val="1"/>
          <w:bCs w:val="1"/>
        </w:rPr>
      </w:pPr>
    </w:p>
    <w:tbl>
      <w:tblPr>
        <w:tblStyle w:val="TableGrid"/>
        <w:tblW w:w="0" w:type="auto"/>
        <w:tblLook w:val="04A0" w:firstRow="1" w:lastRow="0" w:firstColumn="1" w:lastColumn="0" w:noHBand="0" w:noVBand="1"/>
      </w:tblPr>
      <w:tblGrid>
        <w:gridCol w:w="4225"/>
        <w:gridCol w:w="8725"/>
      </w:tblGrid>
      <w:tr w:rsidR="008E3630" w:rsidTr="00950F1F" w14:paraId="0FFE050C" w14:textId="77777777">
        <w:tc>
          <w:tcPr>
            <w:tcW w:w="12950" w:type="dxa"/>
            <w:gridSpan w:val="2"/>
            <w:shd w:val="clear" w:color="auto" w:fill="D0CECE" w:themeFill="background2" w:themeFillShade="E6"/>
          </w:tcPr>
          <w:p w:rsidRPr="00625C05" w:rsidR="008E3630" w:rsidP="00950F1F" w:rsidRDefault="008E3630" w14:paraId="1EBB3C1E" w14:textId="77777777">
            <w:pPr>
              <w:jc w:val="center"/>
              <w:rPr>
                <w:b/>
                <w:bCs/>
              </w:rPr>
            </w:pPr>
            <w:r w:rsidRPr="00625C05">
              <w:rPr>
                <w:b/>
                <w:bCs/>
              </w:rPr>
              <w:t>The Six Facets of Understanding</w:t>
            </w:r>
          </w:p>
        </w:tc>
      </w:tr>
      <w:tr w:rsidR="008E3630" w:rsidTr="00950F1F" w14:paraId="63FCCAC5" w14:textId="77777777">
        <w:tc>
          <w:tcPr>
            <w:tcW w:w="4225" w:type="dxa"/>
            <w:vAlign w:val="center"/>
          </w:tcPr>
          <w:p w:rsidRPr="0077675E" w:rsidR="008E3630" w:rsidP="00950F1F" w:rsidRDefault="008E3630" w14:paraId="1F144F0A" w14:textId="77777777">
            <w:pPr>
              <w:jc w:val="center"/>
              <w:rPr>
                <w:b/>
                <w:bCs/>
                <w:sz w:val="28"/>
                <w:szCs w:val="28"/>
              </w:rPr>
            </w:pPr>
            <w:r w:rsidRPr="0077675E">
              <w:rPr>
                <w:b/>
                <w:bCs/>
                <w:sz w:val="28"/>
                <w:szCs w:val="28"/>
              </w:rPr>
              <w:t>Explanation</w:t>
            </w:r>
          </w:p>
          <w:p w:rsidR="008E3630" w:rsidP="008E3630" w:rsidRDefault="008E3630" w14:paraId="6928F684" w14:textId="77777777">
            <w:pPr>
              <w:pStyle w:val="ListParagraph"/>
              <w:numPr>
                <w:ilvl w:val="0"/>
                <w:numId w:val="1"/>
              </w:numPr>
            </w:pPr>
            <w:r>
              <w:t>Provide complex, insightful, credible reasons</w:t>
            </w:r>
          </w:p>
          <w:p w:rsidR="008E3630" w:rsidP="008E3630" w:rsidRDefault="008E3630" w14:paraId="63861585" w14:textId="77777777">
            <w:pPr>
              <w:pStyle w:val="ListParagraph"/>
              <w:numPr>
                <w:ilvl w:val="0"/>
                <w:numId w:val="1"/>
              </w:numPr>
            </w:pPr>
            <w:r>
              <w:t>Substantiate views with sound argument and evidence</w:t>
            </w:r>
          </w:p>
          <w:p w:rsidR="008E3630" w:rsidP="008E3630" w:rsidRDefault="008E3630" w14:paraId="29F47AEA" w14:textId="77777777">
            <w:pPr>
              <w:pStyle w:val="ListParagraph"/>
              <w:numPr>
                <w:ilvl w:val="0"/>
                <w:numId w:val="1"/>
              </w:numPr>
            </w:pPr>
            <w:r>
              <w:t>Avoid or overcome common misunderstandings</w:t>
            </w:r>
          </w:p>
          <w:p w:rsidR="008E3630" w:rsidP="00950F1F" w:rsidRDefault="008E3630" w14:paraId="231C368E" w14:textId="77777777">
            <w:pPr>
              <w:pStyle w:val="ListParagraph"/>
              <w:ind w:left="360"/>
              <w:jc w:val="center"/>
            </w:pPr>
          </w:p>
        </w:tc>
        <w:tc>
          <w:tcPr>
            <w:tcW w:w="8725" w:type="dxa"/>
          </w:tcPr>
          <w:p w:rsidR="008E3630" w:rsidP="00950F1F" w:rsidRDefault="008E3630" w14:paraId="0C65AD5F" w14:textId="77777777">
            <w:r>
              <w:t>How might students explain their reasoning or provide evidence to support their arguments?</w:t>
            </w:r>
          </w:p>
          <w:p w:rsidR="008E3630" w:rsidP="00950F1F" w:rsidRDefault="008E3630" w14:paraId="33B8C970" w14:textId="77777777"/>
          <w:p w:rsidR="008E3630" w:rsidP="00950F1F" w:rsidRDefault="008E3630" w14:paraId="5314A2CE" w14:textId="77777777"/>
          <w:p w:rsidR="008E3630" w:rsidP="00950F1F" w:rsidRDefault="008E3630" w14:paraId="59B69FDC" w14:textId="77777777"/>
          <w:p w:rsidR="008E3630" w:rsidP="00950F1F" w:rsidRDefault="008E3630" w14:paraId="4E1FB1C2" w14:textId="77777777"/>
          <w:p w:rsidR="008E3630" w:rsidP="00950F1F" w:rsidRDefault="008E3630" w14:paraId="30F33C77" w14:textId="779D6BF7"/>
          <w:p w:rsidR="00CC0D5C" w:rsidP="00950F1F" w:rsidRDefault="00CC0D5C" w14:paraId="6D43DF2F" w14:textId="77777777"/>
          <w:p w:rsidR="008E3630" w:rsidP="00950F1F" w:rsidRDefault="008E3630" w14:paraId="7E6364AA" w14:textId="77777777"/>
          <w:p w:rsidR="008E3630" w:rsidP="00950F1F" w:rsidRDefault="008E3630" w14:paraId="4619B9E1" w14:textId="77777777"/>
        </w:tc>
      </w:tr>
      <w:tr w:rsidR="008E3630" w:rsidTr="00950F1F" w14:paraId="7F8C6064" w14:textId="77777777">
        <w:tc>
          <w:tcPr>
            <w:tcW w:w="4225" w:type="dxa"/>
            <w:vAlign w:val="center"/>
          </w:tcPr>
          <w:p w:rsidRPr="0077675E" w:rsidR="008E3630" w:rsidP="00950F1F" w:rsidRDefault="008E3630" w14:paraId="73FBE631" w14:textId="77777777">
            <w:pPr>
              <w:jc w:val="center"/>
              <w:rPr>
                <w:b/>
                <w:bCs/>
                <w:sz w:val="28"/>
                <w:szCs w:val="28"/>
              </w:rPr>
            </w:pPr>
            <w:r w:rsidRPr="0077675E">
              <w:rPr>
                <w:b/>
                <w:bCs/>
                <w:sz w:val="28"/>
                <w:szCs w:val="28"/>
              </w:rPr>
              <w:t>Interpretation</w:t>
            </w:r>
          </w:p>
          <w:p w:rsidR="008E3630" w:rsidP="008E3630" w:rsidRDefault="008E3630" w14:paraId="21BAE4F5" w14:textId="77777777">
            <w:pPr>
              <w:pStyle w:val="ListParagraph"/>
              <w:numPr>
                <w:ilvl w:val="0"/>
                <w:numId w:val="2"/>
              </w:numPr>
            </w:pPr>
            <w:r>
              <w:t>Make connections to subject matter</w:t>
            </w:r>
          </w:p>
          <w:p w:rsidR="008E3630" w:rsidP="008E3630" w:rsidRDefault="008E3630" w14:paraId="19EE47EC" w14:textId="77777777">
            <w:pPr>
              <w:pStyle w:val="ListParagraph"/>
              <w:numPr>
                <w:ilvl w:val="0"/>
                <w:numId w:val="2"/>
              </w:numPr>
            </w:pPr>
            <w:r>
              <w:t>Tell meaningful stories</w:t>
            </w:r>
          </w:p>
          <w:p w:rsidR="008E3630" w:rsidP="008E3630" w:rsidRDefault="008E3630" w14:paraId="6549F60F" w14:textId="77777777">
            <w:pPr>
              <w:pStyle w:val="ListParagraph"/>
              <w:numPr>
                <w:ilvl w:val="0"/>
                <w:numId w:val="2"/>
              </w:numPr>
            </w:pPr>
            <w:r>
              <w:t>Read between the lines</w:t>
            </w:r>
          </w:p>
          <w:p w:rsidR="008E3630" w:rsidP="008E3630" w:rsidRDefault="008E3630" w14:paraId="617188AB" w14:textId="77777777">
            <w:pPr>
              <w:pStyle w:val="ListParagraph"/>
              <w:numPr>
                <w:ilvl w:val="0"/>
                <w:numId w:val="2"/>
              </w:numPr>
            </w:pPr>
            <w:r>
              <w:t>Provide context to a complex situation</w:t>
            </w:r>
          </w:p>
          <w:p w:rsidR="008E3630" w:rsidP="00950F1F" w:rsidRDefault="008E3630" w14:paraId="5B95058D" w14:textId="77777777">
            <w:pPr>
              <w:pStyle w:val="ListParagraph"/>
              <w:ind w:left="360"/>
              <w:jc w:val="center"/>
            </w:pPr>
          </w:p>
        </w:tc>
        <w:tc>
          <w:tcPr>
            <w:tcW w:w="8725" w:type="dxa"/>
          </w:tcPr>
          <w:p w:rsidR="008E3630" w:rsidP="00950F1F" w:rsidRDefault="008E3630" w14:paraId="7F02CE9B" w14:textId="77777777">
            <w:r>
              <w:t>How might students interpret the content?</w:t>
            </w:r>
          </w:p>
          <w:p w:rsidR="008E3630" w:rsidP="00950F1F" w:rsidRDefault="008E3630" w14:paraId="29BD0F17" w14:textId="77777777"/>
          <w:p w:rsidR="008E3630" w:rsidP="00950F1F" w:rsidRDefault="008E3630" w14:paraId="54F8A5B8" w14:textId="77777777"/>
          <w:p w:rsidR="008E3630" w:rsidP="00950F1F" w:rsidRDefault="008E3630" w14:paraId="61FA5ECE" w14:textId="77777777"/>
          <w:p w:rsidR="008E3630" w:rsidP="00950F1F" w:rsidRDefault="008E3630" w14:paraId="5D13F24E" w14:textId="77777777"/>
          <w:p w:rsidR="008E3630" w:rsidP="00950F1F" w:rsidRDefault="008E3630" w14:paraId="614382A2" w14:textId="77777777"/>
          <w:p w:rsidR="008E3630" w:rsidP="00950F1F" w:rsidRDefault="008E3630" w14:paraId="75F77B0E" w14:textId="5FD60309"/>
          <w:p w:rsidR="00CC0D5C" w:rsidP="00950F1F" w:rsidRDefault="00CC0D5C" w14:paraId="303F5EF1" w14:textId="77777777"/>
          <w:p w:rsidR="008E3630" w:rsidP="00950F1F" w:rsidRDefault="008E3630" w14:paraId="3238D21B" w14:textId="77777777"/>
          <w:p w:rsidR="008E3630" w:rsidP="00950F1F" w:rsidRDefault="008E3630" w14:paraId="48E11FC3" w14:textId="77777777"/>
        </w:tc>
      </w:tr>
      <w:tr w:rsidR="008E3630" w:rsidTr="00950F1F" w14:paraId="16C8756C" w14:textId="77777777">
        <w:tc>
          <w:tcPr>
            <w:tcW w:w="4225" w:type="dxa"/>
            <w:vAlign w:val="center"/>
          </w:tcPr>
          <w:p w:rsidRPr="0077675E" w:rsidR="008E3630" w:rsidP="00950F1F" w:rsidRDefault="008E3630" w14:paraId="475AD364" w14:textId="77777777">
            <w:pPr>
              <w:jc w:val="center"/>
              <w:rPr>
                <w:b/>
                <w:bCs/>
                <w:sz w:val="28"/>
                <w:szCs w:val="28"/>
              </w:rPr>
            </w:pPr>
            <w:r w:rsidRPr="0077675E">
              <w:rPr>
                <w:b/>
                <w:bCs/>
                <w:sz w:val="28"/>
                <w:szCs w:val="28"/>
              </w:rPr>
              <w:t>Application</w:t>
            </w:r>
          </w:p>
          <w:p w:rsidR="008E3630" w:rsidP="008E3630" w:rsidRDefault="008E3630" w14:paraId="026C6EEF" w14:textId="77777777">
            <w:pPr>
              <w:pStyle w:val="ListParagraph"/>
              <w:numPr>
                <w:ilvl w:val="0"/>
                <w:numId w:val="3"/>
              </w:numPr>
            </w:pPr>
            <w:r>
              <w:t>Employ and adapt knowledge in a diverse situation</w:t>
            </w:r>
          </w:p>
          <w:p w:rsidR="008E3630" w:rsidP="008E3630" w:rsidRDefault="008E3630" w14:paraId="14E884DE" w14:textId="77777777">
            <w:pPr>
              <w:pStyle w:val="ListParagraph"/>
              <w:numPr>
                <w:ilvl w:val="0"/>
                <w:numId w:val="3"/>
              </w:numPr>
            </w:pPr>
            <w:r>
              <w:t>Invent or innovate</w:t>
            </w:r>
          </w:p>
          <w:p w:rsidR="008E3630" w:rsidP="008E3630" w:rsidRDefault="008E3630" w14:paraId="373DFB6A" w14:textId="77777777">
            <w:pPr>
              <w:pStyle w:val="ListParagraph"/>
              <w:numPr>
                <w:ilvl w:val="0"/>
                <w:numId w:val="3"/>
              </w:numPr>
            </w:pPr>
            <w:r>
              <w:t>Self-adjust through a performance task</w:t>
            </w:r>
          </w:p>
          <w:p w:rsidR="008E3630" w:rsidP="00950F1F" w:rsidRDefault="008E3630" w14:paraId="5FE2D5EA" w14:textId="77777777">
            <w:pPr>
              <w:pStyle w:val="ListParagraph"/>
              <w:ind w:left="360"/>
              <w:jc w:val="center"/>
            </w:pPr>
          </w:p>
        </w:tc>
        <w:tc>
          <w:tcPr>
            <w:tcW w:w="8725" w:type="dxa"/>
          </w:tcPr>
          <w:p w:rsidR="008E3630" w:rsidP="00950F1F" w:rsidRDefault="008E3630" w14:paraId="1C356BFE" w14:textId="77777777">
            <w:r>
              <w:t>How might students apply their knowledge?</w:t>
            </w:r>
          </w:p>
          <w:p w:rsidR="008E3630" w:rsidP="00950F1F" w:rsidRDefault="008E3630" w14:paraId="487CBE06" w14:textId="77777777"/>
          <w:p w:rsidR="008E3630" w:rsidP="00950F1F" w:rsidRDefault="008E3630" w14:paraId="7492C258" w14:textId="77777777"/>
          <w:p w:rsidR="008E3630" w:rsidP="00950F1F" w:rsidRDefault="008E3630" w14:paraId="3D36A5D3" w14:textId="77777777"/>
          <w:p w:rsidR="008E3630" w:rsidP="00950F1F" w:rsidRDefault="008E3630" w14:paraId="7484733B" w14:textId="77777777"/>
          <w:p w:rsidR="008E3630" w:rsidP="00950F1F" w:rsidRDefault="008E3630" w14:paraId="184587A3" w14:textId="77777777"/>
          <w:p w:rsidR="008E3630" w:rsidP="00950F1F" w:rsidRDefault="008E3630" w14:paraId="3E712C97" w14:textId="77777777"/>
        </w:tc>
      </w:tr>
      <w:tr w:rsidR="008E3630" w:rsidTr="00950F1F" w14:paraId="75DC6DBC" w14:textId="77777777">
        <w:tc>
          <w:tcPr>
            <w:tcW w:w="4225" w:type="dxa"/>
            <w:vAlign w:val="center"/>
          </w:tcPr>
          <w:p w:rsidRPr="0077675E" w:rsidR="008E3630" w:rsidP="00950F1F" w:rsidRDefault="008E3630" w14:paraId="234D7E89" w14:textId="77777777">
            <w:pPr>
              <w:jc w:val="center"/>
              <w:rPr>
                <w:b/>
                <w:bCs/>
                <w:sz w:val="28"/>
                <w:szCs w:val="28"/>
              </w:rPr>
            </w:pPr>
            <w:r w:rsidRPr="0077675E">
              <w:rPr>
                <w:b/>
                <w:bCs/>
                <w:sz w:val="28"/>
                <w:szCs w:val="28"/>
              </w:rPr>
              <w:lastRenderedPageBreak/>
              <w:t>Perspective</w:t>
            </w:r>
          </w:p>
          <w:p w:rsidR="008E3630" w:rsidP="008E3630" w:rsidRDefault="008E3630" w14:paraId="6EFC207D" w14:textId="77777777">
            <w:pPr>
              <w:pStyle w:val="ListParagraph"/>
              <w:numPr>
                <w:ilvl w:val="0"/>
                <w:numId w:val="4"/>
              </w:numPr>
            </w:pPr>
            <w:r>
              <w:t>Recognize another point of view</w:t>
            </w:r>
          </w:p>
          <w:p w:rsidR="008E3630" w:rsidP="008E3630" w:rsidRDefault="008E3630" w14:paraId="597749A1" w14:textId="77777777">
            <w:pPr>
              <w:pStyle w:val="ListParagraph"/>
              <w:numPr>
                <w:ilvl w:val="0"/>
                <w:numId w:val="4"/>
              </w:numPr>
            </w:pPr>
            <w:r>
              <w:t>See the big picture</w:t>
            </w:r>
          </w:p>
          <w:p w:rsidR="008E3630" w:rsidP="008E3630" w:rsidRDefault="008E3630" w14:paraId="505086D2" w14:textId="77777777">
            <w:pPr>
              <w:pStyle w:val="ListParagraph"/>
              <w:numPr>
                <w:ilvl w:val="0"/>
                <w:numId w:val="4"/>
              </w:numPr>
            </w:pPr>
            <w:r>
              <w:t>Display skepticism and test theories</w:t>
            </w:r>
          </w:p>
          <w:p w:rsidR="008E3630" w:rsidP="008E3630" w:rsidRDefault="008E3630" w14:paraId="3C50FE41" w14:textId="77777777">
            <w:pPr>
              <w:pStyle w:val="ListParagraph"/>
              <w:numPr>
                <w:ilvl w:val="0"/>
                <w:numId w:val="4"/>
              </w:numPr>
            </w:pPr>
            <w:r>
              <w:t>Know context or significance of an idea</w:t>
            </w:r>
          </w:p>
          <w:p w:rsidR="008E3630" w:rsidP="008E3630" w:rsidRDefault="008E3630" w14:paraId="0A36E6E6" w14:textId="77777777">
            <w:pPr>
              <w:pStyle w:val="ListParagraph"/>
              <w:numPr>
                <w:ilvl w:val="0"/>
                <w:numId w:val="4"/>
              </w:numPr>
            </w:pPr>
            <w:r>
              <w:t>Recognize limitations to an idea</w:t>
            </w:r>
          </w:p>
          <w:p w:rsidR="008E3630" w:rsidP="00950F1F" w:rsidRDefault="008E3630" w14:paraId="7744AC84" w14:textId="77777777">
            <w:pPr>
              <w:pStyle w:val="ListParagraph"/>
              <w:ind w:left="360"/>
              <w:jc w:val="center"/>
            </w:pPr>
          </w:p>
        </w:tc>
        <w:tc>
          <w:tcPr>
            <w:tcW w:w="8725" w:type="dxa"/>
          </w:tcPr>
          <w:p w:rsidR="008E3630" w:rsidP="00950F1F" w:rsidRDefault="008E3630" w14:paraId="209B2F2E" w14:textId="77777777">
            <w:r>
              <w:t>How might students demonstrate their recognition of other perspectives?</w:t>
            </w:r>
          </w:p>
          <w:p w:rsidR="008E3630" w:rsidP="00950F1F" w:rsidRDefault="008E3630" w14:paraId="7C6DA87C" w14:textId="77777777"/>
          <w:p w:rsidR="008E3630" w:rsidP="00950F1F" w:rsidRDefault="008E3630" w14:paraId="15E5A6C5" w14:textId="77777777"/>
          <w:p w:rsidR="008E3630" w:rsidP="00950F1F" w:rsidRDefault="008E3630" w14:paraId="263B81A6" w14:textId="77777777"/>
          <w:p w:rsidR="008E3630" w:rsidP="00950F1F" w:rsidRDefault="008E3630" w14:paraId="53E98BFA" w14:textId="77777777"/>
          <w:p w:rsidR="008E3630" w:rsidP="00950F1F" w:rsidRDefault="008E3630" w14:paraId="41ABEB62" w14:textId="77777777"/>
          <w:p w:rsidR="008E3630" w:rsidP="00950F1F" w:rsidRDefault="008E3630" w14:paraId="7B71E836" w14:textId="77777777"/>
          <w:p w:rsidR="008E3630" w:rsidP="00950F1F" w:rsidRDefault="008E3630" w14:paraId="5BE6691C" w14:textId="77777777"/>
          <w:p w:rsidR="008E3630" w:rsidP="00950F1F" w:rsidRDefault="008E3630" w14:paraId="315B3D00" w14:textId="77777777"/>
          <w:p w:rsidR="008E3630" w:rsidP="00950F1F" w:rsidRDefault="008E3630" w14:paraId="143FFD13" w14:textId="77777777"/>
        </w:tc>
      </w:tr>
      <w:tr w:rsidR="008E3630" w:rsidTr="00950F1F" w14:paraId="113A152A" w14:textId="77777777">
        <w:tc>
          <w:tcPr>
            <w:tcW w:w="4225" w:type="dxa"/>
            <w:vAlign w:val="center"/>
          </w:tcPr>
          <w:p w:rsidRPr="0077675E" w:rsidR="008E3630" w:rsidP="00950F1F" w:rsidRDefault="008E3630" w14:paraId="246AA91A" w14:textId="77777777">
            <w:pPr>
              <w:jc w:val="center"/>
              <w:rPr>
                <w:b/>
                <w:bCs/>
                <w:sz w:val="28"/>
                <w:szCs w:val="28"/>
              </w:rPr>
            </w:pPr>
            <w:r w:rsidRPr="0077675E">
              <w:rPr>
                <w:b/>
                <w:bCs/>
                <w:sz w:val="28"/>
                <w:szCs w:val="28"/>
              </w:rPr>
              <w:t>Empathy</w:t>
            </w:r>
          </w:p>
          <w:p w:rsidR="008E3630" w:rsidP="008E3630" w:rsidRDefault="008E3630" w14:paraId="2AE62230" w14:textId="77777777">
            <w:pPr>
              <w:pStyle w:val="ListParagraph"/>
              <w:numPr>
                <w:ilvl w:val="0"/>
                <w:numId w:val="5"/>
              </w:numPr>
            </w:pPr>
            <w:r>
              <w:t>Feel and appreciate another’s situation, affect, or point of view</w:t>
            </w:r>
          </w:p>
          <w:p w:rsidR="008E3630" w:rsidP="008E3630" w:rsidRDefault="008E3630" w14:paraId="59BA59D0" w14:textId="77777777">
            <w:pPr>
              <w:pStyle w:val="ListParagraph"/>
              <w:numPr>
                <w:ilvl w:val="0"/>
                <w:numId w:val="5"/>
              </w:numPr>
            </w:pPr>
            <w:r>
              <w:t>Recognize insight in what appears odd or obscure</w:t>
            </w:r>
          </w:p>
          <w:p w:rsidR="008E3630" w:rsidP="008E3630" w:rsidRDefault="008E3630" w14:paraId="5D145A40" w14:textId="77777777">
            <w:pPr>
              <w:pStyle w:val="ListParagraph"/>
              <w:numPr>
                <w:ilvl w:val="0"/>
                <w:numId w:val="5"/>
              </w:numPr>
            </w:pPr>
            <w:r>
              <w:t>Explain how a theory is misunderstood by others</w:t>
            </w:r>
          </w:p>
          <w:p w:rsidR="008E3630" w:rsidP="008E3630" w:rsidRDefault="008E3630" w14:paraId="70D73359" w14:textId="77777777">
            <w:pPr>
              <w:pStyle w:val="ListParagraph"/>
              <w:numPr>
                <w:ilvl w:val="0"/>
                <w:numId w:val="5"/>
              </w:numPr>
            </w:pPr>
            <w:r>
              <w:t>Listen and hear what others do not</w:t>
            </w:r>
          </w:p>
        </w:tc>
        <w:tc>
          <w:tcPr>
            <w:tcW w:w="8725" w:type="dxa"/>
          </w:tcPr>
          <w:p w:rsidR="008E3630" w:rsidP="00950F1F" w:rsidRDefault="008E3630" w14:paraId="0AD9BEF8" w14:textId="77777777">
            <w:r>
              <w:t>How might students demonstrate their appreciation or empathy for other viewpoints?</w:t>
            </w:r>
          </w:p>
          <w:p w:rsidR="008E3630" w:rsidP="00950F1F" w:rsidRDefault="008E3630" w14:paraId="5E7FD748" w14:textId="77777777"/>
          <w:p w:rsidR="008E3630" w:rsidP="00950F1F" w:rsidRDefault="008E3630" w14:paraId="6972BEEB" w14:textId="77777777"/>
          <w:p w:rsidR="008E3630" w:rsidP="00950F1F" w:rsidRDefault="008E3630" w14:paraId="72132E6F" w14:textId="77777777"/>
          <w:p w:rsidR="008E3630" w:rsidP="00950F1F" w:rsidRDefault="008E3630" w14:paraId="64E95C32" w14:textId="77777777"/>
          <w:p w:rsidR="008E3630" w:rsidP="00950F1F" w:rsidRDefault="008E3630" w14:paraId="6782DE60" w14:textId="77777777"/>
          <w:p w:rsidR="008E3630" w:rsidP="00950F1F" w:rsidRDefault="008E3630" w14:paraId="2299FE84" w14:textId="77777777"/>
          <w:p w:rsidR="008E3630" w:rsidP="00950F1F" w:rsidRDefault="008E3630" w14:paraId="08C5C82D" w14:textId="77777777"/>
          <w:p w:rsidR="008E3630" w:rsidP="00950F1F" w:rsidRDefault="008E3630" w14:paraId="269D1EFF" w14:textId="77777777"/>
          <w:p w:rsidR="008E3630" w:rsidP="00950F1F" w:rsidRDefault="008E3630" w14:paraId="74BADC66" w14:textId="77777777"/>
          <w:p w:rsidR="008E3630" w:rsidP="00950F1F" w:rsidRDefault="008E3630" w14:paraId="3FA624FF" w14:textId="77777777"/>
          <w:p w:rsidR="008E3630" w:rsidP="00950F1F" w:rsidRDefault="008E3630" w14:paraId="63E632DC" w14:textId="77777777"/>
        </w:tc>
      </w:tr>
      <w:tr w:rsidR="008E3630" w:rsidTr="00950F1F" w14:paraId="0F4E41D2" w14:textId="77777777">
        <w:tc>
          <w:tcPr>
            <w:tcW w:w="4225" w:type="dxa"/>
            <w:vAlign w:val="center"/>
          </w:tcPr>
          <w:p w:rsidRPr="0077675E" w:rsidR="008E3630" w:rsidP="00950F1F" w:rsidRDefault="008E3630" w14:paraId="7C4AADAB" w14:textId="77777777">
            <w:pPr>
              <w:jc w:val="center"/>
              <w:rPr>
                <w:b/>
                <w:bCs/>
                <w:sz w:val="28"/>
                <w:szCs w:val="28"/>
              </w:rPr>
            </w:pPr>
            <w:r w:rsidRPr="0077675E">
              <w:rPr>
                <w:b/>
                <w:bCs/>
                <w:sz w:val="28"/>
                <w:szCs w:val="28"/>
              </w:rPr>
              <w:t>Self-Knowledge</w:t>
            </w:r>
          </w:p>
          <w:p w:rsidR="008E3630" w:rsidP="008E3630" w:rsidRDefault="008E3630" w14:paraId="57F568EA" w14:textId="77777777">
            <w:pPr>
              <w:pStyle w:val="ListParagraph"/>
              <w:numPr>
                <w:ilvl w:val="0"/>
                <w:numId w:val="6"/>
              </w:numPr>
            </w:pPr>
            <w:r>
              <w:t>Recognize how prejudices can color one’s understanding</w:t>
            </w:r>
          </w:p>
          <w:p w:rsidR="008E3630" w:rsidP="008E3630" w:rsidRDefault="008E3630" w14:paraId="7CC6B325" w14:textId="77777777">
            <w:pPr>
              <w:pStyle w:val="ListParagraph"/>
              <w:numPr>
                <w:ilvl w:val="0"/>
                <w:numId w:val="6"/>
              </w:numPr>
            </w:pPr>
            <w:r>
              <w:t>Engage in metacognition</w:t>
            </w:r>
          </w:p>
          <w:p w:rsidR="008E3630" w:rsidP="008E3630" w:rsidRDefault="008E3630" w14:paraId="6DD37FFC" w14:textId="77777777">
            <w:pPr>
              <w:pStyle w:val="ListParagraph"/>
              <w:numPr>
                <w:ilvl w:val="0"/>
                <w:numId w:val="6"/>
              </w:numPr>
            </w:pPr>
            <w:r>
              <w:t>Question personal convictions</w:t>
            </w:r>
          </w:p>
          <w:p w:rsidR="008E3630" w:rsidP="008E3630" w:rsidRDefault="008E3630" w14:paraId="65E1D5F7" w14:textId="77777777">
            <w:pPr>
              <w:pStyle w:val="ListParagraph"/>
              <w:numPr>
                <w:ilvl w:val="0"/>
                <w:numId w:val="6"/>
              </w:numPr>
            </w:pPr>
            <w:r>
              <w:t>Self-assess and regulate</w:t>
            </w:r>
          </w:p>
          <w:p w:rsidR="008E3630" w:rsidP="008E3630" w:rsidRDefault="008E3630" w14:paraId="23DA4278" w14:textId="77777777">
            <w:pPr>
              <w:pStyle w:val="ListParagraph"/>
              <w:numPr>
                <w:ilvl w:val="0"/>
                <w:numId w:val="6"/>
              </w:numPr>
            </w:pPr>
            <w:r>
              <w:t>Accept feedback and criticism</w:t>
            </w:r>
          </w:p>
        </w:tc>
        <w:tc>
          <w:tcPr>
            <w:tcW w:w="8725" w:type="dxa"/>
          </w:tcPr>
          <w:p w:rsidR="008E3630" w:rsidP="00950F1F" w:rsidRDefault="008E3630" w14:paraId="0734B1FD" w14:textId="77777777">
            <w:r>
              <w:t xml:space="preserve">How might students engage in self-reflection and self-assessment? </w:t>
            </w:r>
          </w:p>
          <w:p w:rsidR="008E3630" w:rsidP="00950F1F" w:rsidRDefault="008E3630" w14:paraId="0B9CF9D3" w14:textId="77777777"/>
          <w:p w:rsidR="008E3630" w:rsidP="00950F1F" w:rsidRDefault="008E3630" w14:paraId="2028CEFF" w14:textId="77777777"/>
          <w:p w:rsidR="008E3630" w:rsidP="00950F1F" w:rsidRDefault="008E3630" w14:paraId="5899E114" w14:textId="77777777"/>
          <w:p w:rsidR="008E3630" w:rsidP="00950F1F" w:rsidRDefault="008E3630" w14:paraId="225CB14E" w14:textId="77777777"/>
          <w:p w:rsidR="008E3630" w:rsidP="00950F1F" w:rsidRDefault="008E3630" w14:paraId="590ACC89" w14:textId="77777777"/>
          <w:p w:rsidR="008E3630" w:rsidP="00950F1F" w:rsidRDefault="008E3630" w14:paraId="0E557D63" w14:textId="77777777"/>
          <w:p w:rsidR="008E3630" w:rsidP="00950F1F" w:rsidRDefault="008E3630" w14:paraId="00B7FBBC" w14:textId="77777777"/>
          <w:p w:rsidR="008E3630" w:rsidP="00950F1F" w:rsidRDefault="008E3630" w14:paraId="2D411AB0" w14:textId="77777777"/>
          <w:p w:rsidR="008E3630" w:rsidP="00950F1F" w:rsidRDefault="008E3630" w14:paraId="47472474" w14:textId="77777777"/>
        </w:tc>
      </w:tr>
    </w:tbl>
    <w:p w:rsidRPr="008E3630" w:rsidR="008E3630" w:rsidP="008E3630" w:rsidRDefault="008E3630" w14:paraId="7103360D" w14:textId="77777777"/>
    <w:sectPr w:rsidRPr="008E3630" w:rsidR="008E3630" w:rsidSect="008E3630">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5A8" w:rsidP="00CC0D5C" w:rsidRDefault="000B05A8" w14:paraId="1B9EF33B" w14:textId="77777777">
      <w:r>
        <w:separator/>
      </w:r>
    </w:p>
  </w:endnote>
  <w:endnote w:type="continuationSeparator" w:id="0">
    <w:p w:rsidR="000B05A8" w:rsidP="00CC0D5C" w:rsidRDefault="000B05A8" w14:paraId="7AD527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DB8" w:rsidRDefault="00096DB8" w14:paraId="60015F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DB8" w:rsidP="00096DB8" w:rsidRDefault="00096DB8" w14:paraId="65D8DAC7" w14:textId="6ACD33E6">
    <w:pPr>
      <w:pStyle w:val="Footer"/>
    </w:pPr>
    <w:r>
      <w:t>Developed by Division of Academic Effectiveness, Fall 2020</w:t>
    </w:r>
    <w:r>
      <w:t xml:space="preserve">. </w:t>
    </w:r>
    <w:bookmarkStart w:name="_GoBack" w:id="0"/>
    <w:bookmarkEnd w:id="0"/>
    <w:r>
      <w:t xml:space="preserve">For help contact </w:t>
    </w:r>
    <w:hyperlink w:history="1" r:id="rId1">
      <w:r w:rsidRPr="007B121F">
        <w:rPr>
          <w:rStyle w:val="Hyperlink"/>
        </w:rPr>
        <w:t>academic</w:t>
      </w:r>
      <w:r w:rsidRPr="007B121F">
        <w:rPr>
          <w:rStyle w:val="Hyperlink"/>
        </w:rPr>
        <w:t>.</w:t>
      </w:r>
      <w:r w:rsidRPr="007B121F">
        <w:rPr>
          <w:rStyle w:val="Hyperlink"/>
        </w:rPr>
        <w:t>effectiveness@unco.edu</w:t>
      </w:r>
    </w:hyperlink>
    <w:r>
      <w:t xml:space="preserve"> </w:t>
    </w:r>
  </w:p>
  <w:p w:rsidR="00096DB8" w:rsidRDefault="00096DB8" w14:paraId="307199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DB8" w:rsidRDefault="00096DB8" w14:paraId="445940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5A8" w:rsidP="00CC0D5C" w:rsidRDefault="000B05A8" w14:paraId="2108DD57" w14:textId="77777777">
      <w:r>
        <w:separator/>
      </w:r>
    </w:p>
  </w:footnote>
  <w:footnote w:type="continuationSeparator" w:id="0">
    <w:p w:rsidR="000B05A8" w:rsidP="00CC0D5C" w:rsidRDefault="000B05A8" w14:paraId="265385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DB8" w:rsidRDefault="00096DB8" w14:paraId="087C83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D5C" w:rsidP="00CC0D5C" w:rsidRDefault="00CC0D5C" w14:paraId="0CC5B8E9" w14:textId="77777777">
    <w:pPr>
      <w:jc w:val="center"/>
      <w:rPr>
        <w:b/>
        <w:bCs/>
      </w:rPr>
    </w:pPr>
    <w:r w:rsidRPr="0A452818">
      <w:rPr>
        <w:b/>
        <w:bCs/>
      </w:rPr>
      <w:t>Redesigning an Existing Course</w:t>
    </w:r>
  </w:p>
  <w:p w:rsidR="00CC0D5C" w:rsidRDefault="00CC0D5C" w14:paraId="575636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DB8" w:rsidRDefault="00096DB8" w14:paraId="409783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D5F53"/>
    <w:multiLevelType w:val="hybridMultilevel"/>
    <w:tmpl w:val="9F249C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3B8103D4"/>
    <w:multiLevelType w:val="hybridMultilevel"/>
    <w:tmpl w:val="1C265A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570D4E14"/>
    <w:multiLevelType w:val="hybridMultilevel"/>
    <w:tmpl w:val="4D6216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58C00DD1"/>
    <w:multiLevelType w:val="hybridMultilevel"/>
    <w:tmpl w:val="8820B0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61525400"/>
    <w:multiLevelType w:val="hybridMultilevel"/>
    <w:tmpl w:val="990492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78385399"/>
    <w:multiLevelType w:val="hybridMultilevel"/>
    <w:tmpl w:val="95044D8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30"/>
    <w:rsid w:val="000448FC"/>
    <w:rsid w:val="00096DB8"/>
    <w:rsid w:val="000B05A8"/>
    <w:rsid w:val="002442E0"/>
    <w:rsid w:val="0056277B"/>
    <w:rsid w:val="008E3630"/>
    <w:rsid w:val="00CC0D5C"/>
    <w:rsid w:val="05A6532A"/>
    <w:rsid w:val="0A452818"/>
    <w:rsid w:val="22AEBC85"/>
    <w:rsid w:val="27D31385"/>
    <w:rsid w:val="335BB2E6"/>
    <w:rsid w:val="46D8501F"/>
    <w:rsid w:val="70ADD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2154"/>
  <w15:chartTrackingRefBased/>
  <w15:docId w15:val="{F5AACAA4-E7F1-6245-B164-FB9803DF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cs="Times New Roman (Body CS)" w:eastAsiaTheme="minorHAnsi"/>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E3630"/>
    <w:pPr>
      <w:ind w:left="720"/>
      <w:contextualSpacing/>
    </w:pPr>
  </w:style>
  <w:style w:type="table" w:styleId="TableGrid">
    <w:name w:val="Table Grid"/>
    <w:basedOn w:val="TableNormal"/>
    <w:uiPriority w:val="39"/>
    <w:rsid w:val="008E36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C0D5C"/>
    <w:pPr>
      <w:tabs>
        <w:tab w:val="center" w:pos="4680"/>
        <w:tab w:val="right" w:pos="9360"/>
      </w:tabs>
    </w:pPr>
  </w:style>
  <w:style w:type="character" w:styleId="HeaderChar" w:customStyle="1">
    <w:name w:val="Header Char"/>
    <w:basedOn w:val="DefaultParagraphFont"/>
    <w:link w:val="Header"/>
    <w:uiPriority w:val="99"/>
    <w:rsid w:val="00CC0D5C"/>
  </w:style>
  <w:style w:type="paragraph" w:styleId="Footer">
    <w:name w:val="footer"/>
    <w:basedOn w:val="Normal"/>
    <w:link w:val="FooterChar"/>
    <w:uiPriority w:val="99"/>
    <w:unhideWhenUsed/>
    <w:rsid w:val="00CC0D5C"/>
    <w:pPr>
      <w:tabs>
        <w:tab w:val="center" w:pos="4680"/>
        <w:tab w:val="right" w:pos="9360"/>
      </w:tabs>
    </w:pPr>
  </w:style>
  <w:style w:type="character" w:styleId="FooterChar" w:customStyle="1">
    <w:name w:val="Footer Char"/>
    <w:basedOn w:val="DefaultParagraphFont"/>
    <w:link w:val="Footer"/>
    <w:uiPriority w:val="99"/>
    <w:rsid w:val="00CC0D5C"/>
  </w:style>
  <w:style w:type="character" w:styleId="Hyperlink">
    <w:name w:val="Hyperlink"/>
    <w:basedOn w:val="DefaultParagraphFont"/>
    <w:uiPriority w:val="99"/>
    <w:unhideWhenUsed/>
    <w:rsid w:val="00096DB8"/>
    <w:rPr>
      <w:color w:val="0563C1" w:themeColor="hyperlink"/>
      <w:u w:val="single"/>
    </w:rPr>
  </w:style>
  <w:style w:type="character" w:styleId="UnresolvedMention">
    <w:name w:val="Unresolved Mention"/>
    <w:basedOn w:val="DefaultParagraphFont"/>
    <w:uiPriority w:val="99"/>
    <w:semiHidden/>
    <w:unhideWhenUsed/>
    <w:rsid w:val="00096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hyperlink" Target="mailto:academic.effectiveness@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717C9DA6734F4BAF16F0FC59FAC8B2" ma:contentTypeVersion="6" ma:contentTypeDescription="Create a new document." ma:contentTypeScope="" ma:versionID="97dc9f83abf8c4bb1d89ea7a77f48956">
  <xsd:schema xmlns:xsd="http://www.w3.org/2001/XMLSchema" xmlns:xs="http://www.w3.org/2001/XMLSchema" xmlns:p="http://schemas.microsoft.com/office/2006/metadata/properties" xmlns:ns2="04151bc6-ba7e-4935-9332-4a7f885ba211" xmlns:ns3="692dd6ed-53c3-4788-a3de-d9d1b0b64ad9" targetNamespace="http://schemas.microsoft.com/office/2006/metadata/properties" ma:root="true" ma:fieldsID="44c73135c78ecacfd48d3fee185368cd" ns2:_="" ns3:_="">
    <xsd:import namespace="04151bc6-ba7e-4935-9332-4a7f885ba211"/>
    <xsd:import namespace="692dd6ed-53c3-4788-a3de-d9d1b0b64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51bc6-ba7e-4935-9332-4a7f885ba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dd6ed-53c3-4788-a3de-d9d1b0b64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42F5F-7C87-472E-AA2F-22376ED9106C}">
  <ds:schemaRefs>
    <ds:schemaRef ds:uri="http://schemas.microsoft.com/sharepoint/v3/contenttype/forms"/>
  </ds:schemaRefs>
</ds:datastoreItem>
</file>

<file path=customXml/itemProps2.xml><?xml version="1.0" encoding="utf-8"?>
<ds:datastoreItem xmlns:ds="http://schemas.openxmlformats.org/officeDocument/2006/customXml" ds:itemID="{50620B87-4055-46CF-B502-FDF6A1324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FA870-843C-46E0-9B43-313FE2372C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Audrey Tocco</dc:creator>
  <keywords/>
  <dc:description/>
  <lastModifiedBy>McCartin, Lyda</lastModifiedBy>
  <revision>6</revision>
  <dcterms:created xsi:type="dcterms:W3CDTF">2020-11-04T15:02:00.0000000Z</dcterms:created>
  <dcterms:modified xsi:type="dcterms:W3CDTF">2021-02-05T16:01:05.8205745Z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0x010100EB717C9DA6734F4BAF16F0FC59FAC8B2</vt:lpwstr>
  </property>
</Properties>
</file>