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DDDE1D" w14:textId="77777777" w:rsidR="009F677F" w:rsidRDefault="00DB742D" w:rsidP="008248B0">
      <w:pPr>
        <w:rPr>
          <w:rFonts w:eastAsia="Calibri"/>
          <w:sz w:val="22"/>
          <w:szCs w:val="21"/>
        </w:rPr>
      </w:pPr>
      <w:bookmarkStart w:id="0" w:name="_GoBack"/>
      <w:bookmarkEnd w:id="0"/>
      <w:r w:rsidRPr="00D525B1">
        <w:rPr>
          <w:rFonts w:eastAsia="Calibri"/>
          <w:sz w:val="22"/>
          <w:szCs w:val="21"/>
        </w:rPr>
        <w:t>ISSN 2472-8608</w:t>
      </w:r>
      <w:r w:rsidR="008248B0">
        <w:rPr>
          <w:rFonts w:eastAsia="Calibri"/>
          <w:sz w:val="22"/>
          <w:szCs w:val="21"/>
        </w:rPr>
        <w:t xml:space="preserve">      </w:t>
      </w:r>
      <w:r w:rsidR="00377BB9">
        <w:rPr>
          <w:rFonts w:eastAsia="Calibri"/>
          <w:sz w:val="22"/>
          <w:szCs w:val="21"/>
        </w:rPr>
        <w:tab/>
      </w:r>
      <w:r w:rsidR="00377BB9">
        <w:rPr>
          <w:rFonts w:eastAsia="Calibri"/>
          <w:sz w:val="22"/>
          <w:szCs w:val="21"/>
        </w:rPr>
        <w:tab/>
      </w:r>
      <w:r w:rsidR="00377BB9">
        <w:rPr>
          <w:rFonts w:eastAsia="Calibri"/>
          <w:sz w:val="22"/>
          <w:szCs w:val="21"/>
        </w:rPr>
        <w:tab/>
      </w:r>
      <w:r w:rsidR="00377BB9">
        <w:rPr>
          <w:rFonts w:eastAsia="Calibri"/>
          <w:sz w:val="22"/>
          <w:szCs w:val="21"/>
        </w:rPr>
        <w:tab/>
      </w:r>
      <w:r w:rsidR="00377BB9">
        <w:rPr>
          <w:rFonts w:eastAsia="Calibri"/>
          <w:sz w:val="22"/>
          <w:szCs w:val="21"/>
        </w:rPr>
        <w:tab/>
      </w:r>
      <w:r w:rsidR="00377BB9">
        <w:rPr>
          <w:rFonts w:eastAsia="Calibri"/>
          <w:sz w:val="22"/>
          <w:szCs w:val="21"/>
        </w:rPr>
        <w:tab/>
      </w:r>
      <w:r w:rsidR="00377BB9">
        <w:rPr>
          <w:rFonts w:eastAsia="Calibri"/>
          <w:sz w:val="22"/>
          <w:szCs w:val="21"/>
        </w:rPr>
        <w:tab/>
      </w:r>
    </w:p>
    <w:p w14:paraId="079EB516" w14:textId="77777777" w:rsidR="009F677F" w:rsidRPr="00D525B1" w:rsidRDefault="009F677F" w:rsidP="009F677F">
      <w:pPr>
        <w:jc w:val="center"/>
        <w:rPr>
          <w:rFonts w:eastAsia="Calibri"/>
          <w:sz w:val="22"/>
          <w:szCs w:val="21"/>
        </w:rPr>
      </w:pPr>
    </w:p>
    <w:p w14:paraId="6E95C975" w14:textId="77777777" w:rsidR="0057379B" w:rsidRPr="00377BB9" w:rsidRDefault="0057379B" w:rsidP="00377BB9">
      <w:pPr>
        <w:pStyle w:val="Heading1"/>
        <w:rPr>
          <w:sz w:val="44"/>
          <w:szCs w:val="44"/>
        </w:rPr>
      </w:pPr>
      <w:r w:rsidRPr="00540AD0">
        <w:rPr>
          <w:sz w:val="44"/>
          <w:szCs w:val="44"/>
        </w:rPr>
        <w:t>The Field Experience Journal</w:t>
      </w:r>
    </w:p>
    <w:p w14:paraId="035E7DC0" w14:textId="77777777" w:rsidR="0057379B" w:rsidRPr="00E07082" w:rsidRDefault="008208D5" w:rsidP="0057379B">
      <w:pPr>
        <w:pStyle w:val="Heading3"/>
        <w:ind w:left="5040"/>
        <w:jc w:val="left"/>
        <w:rPr>
          <w:szCs w:val="28"/>
        </w:rPr>
      </w:pPr>
      <w:r>
        <w:rPr>
          <w:rFonts w:ascii="Georgia" w:hAnsi="Georgia"/>
          <w:i/>
          <w:szCs w:val="28"/>
        </w:rPr>
        <w:t xml:space="preserve">       </w:t>
      </w:r>
      <w:r w:rsidR="00DA4852">
        <w:rPr>
          <w:rFonts w:ascii="Georgia" w:hAnsi="Georgia"/>
          <w:i/>
          <w:szCs w:val="28"/>
        </w:rPr>
        <w:t>Volume 2</w:t>
      </w:r>
      <w:r w:rsidR="005C4EAD">
        <w:rPr>
          <w:rFonts w:ascii="Georgia" w:hAnsi="Georgia"/>
          <w:i/>
          <w:szCs w:val="28"/>
        </w:rPr>
        <w:t>3   Spring</w:t>
      </w:r>
      <w:r w:rsidR="00DA4852">
        <w:rPr>
          <w:rFonts w:ascii="Georgia" w:hAnsi="Georgia"/>
          <w:i/>
          <w:szCs w:val="28"/>
        </w:rPr>
        <w:t xml:space="preserve"> 201</w:t>
      </w:r>
      <w:r w:rsidR="005C4EAD">
        <w:rPr>
          <w:rFonts w:ascii="Georgia" w:hAnsi="Georgia"/>
          <w:i/>
          <w:szCs w:val="28"/>
        </w:rPr>
        <w:t>9</w:t>
      </w:r>
    </w:p>
    <w:p w14:paraId="5B0AE61F" w14:textId="77777777" w:rsidR="0057379B" w:rsidRDefault="0057379B" w:rsidP="00937747">
      <w:pPr>
        <w:pStyle w:val="Heading3"/>
        <w:spacing w:line="276" w:lineRule="auto"/>
      </w:pPr>
      <w:r>
        <w:t>Table of Contents</w:t>
      </w:r>
    </w:p>
    <w:p w14:paraId="4C2B1604" w14:textId="77777777" w:rsidR="0057379B" w:rsidRDefault="0057379B" w:rsidP="00937747">
      <w:pPr>
        <w:spacing w:line="276" w:lineRule="auto"/>
      </w:pPr>
      <w:r>
        <w:tab/>
        <w:t>ii</w:t>
      </w:r>
      <w:r>
        <w:tab/>
        <w:t>From the Editor</w:t>
      </w:r>
    </w:p>
    <w:p w14:paraId="2BF880BB" w14:textId="77777777" w:rsidR="00AB3FAB" w:rsidRDefault="0057379B" w:rsidP="00BB7983">
      <w:pPr>
        <w:spacing w:line="276" w:lineRule="auto"/>
        <w:rPr>
          <w:i/>
        </w:rPr>
      </w:pPr>
      <w:r>
        <w:rPr>
          <w:i/>
        </w:rPr>
        <w:tab/>
      </w:r>
      <w:r>
        <w:rPr>
          <w:i/>
        </w:rPr>
        <w:tab/>
        <w:t>Kim L. Creasy</w:t>
      </w:r>
    </w:p>
    <w:p w14:paraId="776F4146" w14:textId="77777777" w:rsidR="0018758C" w:rsidRDefault="0018758C" w:rsidP="00BB7983">
      <w:pPr>
        <w:spacing w:line="276" w:lineRule="auto"/>
        <w:rPr>
          <w:i/>
        </w:rPr>
      </w:pPr>
    </w:p>
    <w:p w14:paraId="0228153E" w14:textId="77777777" w:rsidR="000B0280" w:rsidRPr="000B0280" w:rsidRDefault="000B0280" w:rsidP="000B0280">
      <w:pPr>
        <w:spacing w:line="276" w:lineRule="auto"/>
        <w:ind w:left="1440" w:hanging="660"/>
        <w:rPr>
          <w:color w:val="000000"/>
        </w:rPr>
      </w:pPr>
      <w:bookmarkStart w:id="1" w:name="_Hlk530117547"/>
      <w:r>
        <w:rPr>
          <w:color w:val="000000"/>
        </w:rPr>
        <w:t>1</w:t>
      </w:r>
      <w:r>
        <w:rPr>
          <w:color w:val="000000"/>
        </w:rPr>
        <w:tab/>
      </w:r>
      <w:r w:rsidRPr="000B0280">
        <w:rPr>
          <w:color w:val="000000"/>
        </w:rPr>
        <w:t>International Pen-Pal Project: Benefits for Teacher Candidates</w:t>
      </w:r>
    </w:p>
    <w:p w14:paraId="56C393E9" w14:textId="77777777" w:rsidR="000B0280" w:rsidRDefault="000B0280" w:rsidP="000B0280">
      <w:pPr>
        <w:spacing w:line="276" w:lineRule="auto"/>
        <w:ind w:left="1440" w:hanging="660"/>
        <w:rPr>
          <w:i/>
          <w:color w:val="000000"/>
        </w:rPr>
      </w:pPr>
      <w:r>
        <w:rPr>
          <w:i/>
          <w:color w:val="000000"/>
        </w:rPr>
        <w:tab/>
      </w:r>
      <w:r w:rsidRPr="000B0280">
        <w:rPr>
          <w:i/>
          <w:color w:val="000000"/>
        </w:rPr>
        <w:t>Ksenia S. Zhbanova</w:t>
      </w:r>
    </w:p>
    <w:p w14:paraId="280E27D1" w14:textId="77777777" w:rsidR="001F4565" w:rsidRDefault="001F4565" w:rsidP="000B0280">
      <w:pPr>
        <w:spacing w:line="276" w:lineRule="auto"/>
        <w:ind w:left="1440" w:hanging="660"/>
        <w:rPr>
          <w:i/>
          <w:color w:val="000000"/>
        </w:rPr>
      </w:pPr>
    </w:p>
    <w:p w14:paraId="421A430F" w14:textId="77777777" w:rsidR="000B0280" w:rsidRDefault="000B0280" w:rsidP="000B0280">
      <w:pPr>
        <w:spacing w:line="276" w:lineRule="auto"/>
        <w:rPr>
          <w:color w:val="000000"/>
        </w:rPr>
      </w:pPr>
      <w:r>
        <w:rPr>
          <w:i/>
          <w:color w:val="000000"/>
        </w:rPr>
        <w:tab/>
      </w:r>
      <w:r w:rsidRPr="000B0280">
        <w:rPr>
          <w:color w:val="000000"/>
        </w:rPr>
        <w:t>22</w:t>
      </w:r>
      <w:r>
        <w:rPr>
          <w:i/>
          <w:color w:val="000000"/>
        </w:rPr>
        <w:tab/>
      </w:r>
      <w:bookmarkStart w:id="2" w:name="_Hlk7813000"/>
      <w:r w:rsidRPr="000B0280">
        <w:rPr>
          <w:color w:val="000000"/>
        </w:rPr>
        <w:t xml:space="preserve">Immersed, Embedded, and Connected: Opportunities for Early Field </w:t>
      </w:r>
      <w:r>
        <w:rPr>
          <w:color w:val="000000"/>
        </w:rPr>
        <w:tab/>
      </w:r>
      <w:r>
        <w:rPr>
          <w:color w:val="000000"/>
        </w:rPr>
        <w:tab/>
      </w:r>
      <w:r>
        <w:rPr>
          <w:color w:val="000000"/>
        </w:rPr>
        <w:tab/>
      </w:r>
      <w:r w:rsidRPr="000B0280">
        <w:rPr>
          <w:color w:val="000000"/>
        </w:rPr>
        <w:t>Experiences</w:t>
      </w:r>
    </w:p>
    <w:p w14:paraId="048B70E4" w14:textId="77777777" w:rsidR="000B0280" w:rsidRDefault="000B0280" w:rsidP="000B0280">
      <w:pPr>
        <w:spacing w:line="276" w:lineRule="auto"/>
        <w:rPr>
          <w:rFonts w:eastAsia="Calibri"/>
          <w:i/>
        </w:rPr>
      </w:pPr>
      <w:r>
        <w:rPr>
          <w:rFonts w:eastAsia="Calibri"/>
          <w:i/>
        </w:rPr>
        <w:tab/>
      </w:r>
      <w:r>
        <w:rPr>
          <w:rFonts w:eastAsia="Calibri"/>
          <w:i/>
        </w:rPr>
        <w:tab/>
      </w:r>
      <w:r w:rsidRPr="000F42BC">
        <w:rPr>
          <w:rFonts w:eastAsia="Calibri"/>
          <w:i/>
        </w:rPr>
        <w:t>Terri Jongekrijg and Robert Wiggins</w:t>
      </w:r>
    </w:p>
    <w:bookmarkEnd w:id="2"/>
    <w:p w14:paraId="74769784" w14:textId="77777777" w:rsidR="001F4565" w:rsidRDefault="001F4565" w:rsidP="000B0280">
      <w:pPr>
        <w:spacing w:line="276" w:lineRule="auto"/>
        <w:rPr>
          <w:rFonts w:eastAsia="Calibri"/>
          <w:i/>
        </w:rPr>
      </w:pPr>
    </w:p>
    <w:p w14:paraId="049FA81B" w14:textId="77777777" w:rsidR="001F4565" w:rsidRPr="001F4565" w:rsidRDefault="000B0280" w:rsidP="001F4565">
      <w:pPr>
        <w:spacing w:line="276" w:lineRule="auto"/>
        <w:rPr>
          <w:rFonts w:eastAsia="Calibri"/>
        </w:rPr>
      </w:pPr>
      <w:r>
        <w:rPr>
          <w:rFonts w:eastAsia="Calibri"/>
          <w:i/>
        </w:rPr>
        <w:tab/>
      </w:r>
      <w:r w:rsidRPr="001F4565">
        <w:rPr>
          <w:rFonts w:eastAsia="Calibri"/>
        </w:rPr>
        <w:t>4</w:t>
      </w:r>
      <w:r w:rsidR="00954F31">
        <w:rPr>
          <w:rFonts w:eastAsia="Calibri"/>
        </w:rPr>
        <w:t>1</w:t>
      </w:r>
      <w:r w:rsidRPr="001F4565">
        <w:rPr>
          <w:rFonts w:eastAsia="Calibri"/>
        </w:rPr>
        <w:tab/>
      </w:r>
      <w:bookmarkStart w:id="3" w:name="_Hlk8027686"/>
      <w:r w:rsidR="001F4565" w:rsidRPr="001F4565">
        <w:rPr>
          <w:rFonts w:eastAsia="Calibri"/>
        </w:rPr>
        <w:t>Reflection vs. Critical Self-Reflection</w:t>
      </w:r>
    </w:p>
    <w:p w14:paraId="7C00BEBD" w14:textId="77777777" w:rsidR="001F4565" w:rsidRDefault="001F4565" w:rsidP="001F4565">
      <w:pPr>
        <w:spacing w:line="276" w:lineRule="auto"/>
        <w:rPr>
          <w:rFonts w:eastAsia="Calibri"/>
          <w:i/>
        </w:rPr>
      </w:pPr>
      <w:r>
        <w:rPr>
          <w:rFonts w:eastAsia="Calibri"/>
          <w:i/>
        </w:rPr>
        <w:tab/>
      </w:r>
      <w:r>
        <w:rPr>
          <w:rFonts w:eastAsia="Calibri"/>
          <w:i/>
        </w:rPr>
        <w:tab/>
      </w:r>
      <w:r w:rsidRPr="001F4565">
        <w:rPr>
          <w:rFonts w:eastAsia="Calibri"/>
          <w:i/>
        </w:rPr>
        <w:t>Pamela Vaughn and Susan L. Reily</w:t>
      </w:r>
    </w:p>
    <w:bookmarkEnd w:id="3"/>
    <w:p w14:paraId="43A25BEF" w14:textId="77777777" w:rsidR="001F4565" w:rsidRDefault="001F4565" w:rsidP="001F4565">
      <w:pPr>
        <w:spacing w:line="276" w:lineRule="auto"/>
        <w:rPr>
          <w:rFonts w:eastAsia="Calibri"/>
          <w:i/>
        </w:rPr>
      </w:pPr>
    </w:p>
    <w:p w14:paraId="46ADC2A8" w14:textId="77777777" w:rsidR="001F4565" w:rsidRPr="001F4565" w:rsidRDefault="001F4565" w:rsidP="001F4565">
      <w:pPr>
        <w:spacing w:line="276" w:lineRule="auto"/>
        <w:contextualSpacing/>
        <w:rPr>
          <w:szCs w:val="22"/>
          <w:lang w:bidi="en-US"/>
        </w:rPr>
      </w:pPr>
      <w:r>
        <w:rPr>
          <w:rFonts w:eastAsia="Calibri"/>
          <w:i/>
        </w:rPr>
        <w:tab/>
      </w:r>
      <w:r w:rsidRPr="001F4565">
        <w:rPr>
          <w:rFonts w:eastAsia="Calibri"/>
        </w:rPr>
        <w:t>58</w:t>
      </w:r>
      <w:r w:rsidRPr="001F4565">
        <w:rPr>
          <w:rFonts w:eastAsia="Calibri"/>
        </w:rPr>
        <w:tab/>
      </w:r>
      <w:bookmarkStart w:id="4" w:name="_Hlk8063665"/>
      <w:r w:rsidRPr="001F4565">
        <w:rPr>
          <w:szCs w:val="22"/>
          <w:lang w:bidi="en-US"/>
        </w:rPr>
        <w:t xml:space="preserve">Consistency in Student Teacher Evaluations: A Comparison of </w:t>
      </w:r>
      <w:r>
        <w:rPr>
          <w:szCs w:val="22"/>
          <w:lang w:bidi="en-US"/>
        </w:rPr>
        <w:tab/>
      </w:r>
      <w:r>
        <w:rPr>
          <w:szCs w:val="22"/>
          <w:lang w:bidi="en-US"/>
        </w:rPr>
        <w:tab/>
      </w:r>
      <w:r>
        <w:rPr>
          <w:szCs w:val="22"/>
          <w:lang w:bidi="en-US"/>
        </w:rPr>
        <w:tab/>
      </w:r>
      <w:r>
        <w:rPr>
          <w:szCs w:val="22"/>
          <w:lang w:bidi="en-US"/>
        </w:rPr>
        <w:tab/>
      </w:r>
      <w:r w:rsidRPr="001F4565">
        <w:rPr>
          <w:szCs w:val="22"/>
          <w:lang w:bidi="en-US"/>
        </w:rPr>
        <w:t>Cooperating Teachers and Supervisors</w:t>
      </w:r>
    </w:p>
    <w:p w14:paraId="131170EA" w14:textId="77777777" w:rsidR="001F4565" w:rsidRDefault="001F4565" w:rsidP="001F4565">
      <w:pPr>
        <w:spacing w:after="160" w:line="276" w:lineRule="auto"/>
        <w:contextualSpacing/>
        <w:rPr>
          <w:rFonts w:eastAsia="Calibri"/>
          <w:i/>
        </w:rPr>
      </w:pPr>
      <w:r>
        <w:rPr>
          <w:rFonts w:eastAsia="Calibri"/>
          <w:i/>
        </w:rPr>
        <w:tab/>
      </w:r>
      <w:r>
        <w:rPr>
          <w:rFonts w:eastAsia="Calibri"/>
          <w:i/>
        </w:rPr>
        <w:tab/>
      </w:r>
      <w:r w:rsidRPr="001F4565">
        <w:rPr>
          <w:rFonts w:eastAsia="Calibri"/>
          <w:i/>
        </w:rPr>
        <w:t>Irene Frank and Mei Chang</w:t>
      </w:r>
    </w:p>
    <w:p w14:paraId="1F25783B" w14:textId="77777777" w:rsidR="001F4565" w:rsidRDefault="001F4565" w:rsidP="001F4565">
      <w:pPr>
        <w:spacing w:after="160" w:line="276" w:lineRule="auto"/>
        <w:contextualSpacing/>
        <w:rPr>
          <w:rFonts w:eastAsia="Calibri"/>
          <w:i/>
        </w:rPr>
      </w:pPr>
    </w:p>
    <w:p w14:paraId="7B824440" w14:textId="77777777" w:rsidR="001F4565" w:rsidRPr="001F4565" w:rsidRDefault="001F4565" w:rsidP="001F4565">
      <w:pPr>
        <w:spacing w:line="276" w:lineRule="auto"/>
        <w:rPr>
          <w:rFonts w:eastAsia="Calibri"/>
        </w:rPr>
      </w:pPr>
      <w:r>
        <w:rPr>
          <w:rFonts w:eastAsia="Calibri"/>
          <w:i/>
        </w:rPr>
        <w:tab/>
      </w:r>
      <w:r w:rsidRPr="00954F31">
        <w:rPr>
          <w:rFonts w:eastAsia="Calibri"/>
        </w:rPr>
        <w:t>79</w:t>
      </w:r>
      <w:r>
        <w:rPr>
          <w:rFonts w:eastAsia="Calibri"/>
          <w:i/>
        </w:rPr>
        <w:tab/>
      </w:r>
      <w:r w:rsidRPr="001F4565">
        <w:rPr>
          <w:rFonts w:eastAsia="Calibri"/>
        </w:rPr>
        <w:t xml:space="preserve">Pre-service Co-Teaching Research: The Continuing Value of Monitoring </w:t>
      </w:r>
      <w:r>
        <w:rPr>
          <w:rFonts w:eastAsia="Calibri"/>
        </w:rPr>
        <w:tab/>
      </w:r>
      <w:r>
        <w:rPr>
          <w:rFonts w:eastAsia="Calibri"/>
        </w:rPr>
        <w:tab/>
      </w:r>
      <w:r>
        <w:rPr>
          <w:rFonts w:eastAsia="Calibri"/>
        </w:rPr>
        <w:tab/>
      </w:r>
      <w:r w:rsidRPr="001F4565">
        <w:rPr>
          <w:rFonts w:eastAsia="Calibri"/>
        </w:rPr>
        <w:t>Student Achievement</w:t>
      </w:r>
    </w:p>
    <w:p w14:paraId="4F813CC4" w14:textId="77777777" w:rsidR="001F4565" w:rsidRPr="004304A2" w:rsidRDefault="001F4565" w:rsidP="001F4565">
      <w:pPr>
        <w:spacing w:line="276" w:lineRule="auto"/>
        <w:rPr>
          <w:rFonts w:eastAsia="Calibri"/>
          <w:i/>
        </w:rPr>
      </w:pPr>
      <w:r>
        <w:rPr>
          <w:rFonts w:eastAsia="Calibri"/>
          <w:i/>
        </w:rPr>
        <w:tab/>
      </w:r>
      <w:r>
        <w:rPr>
          <w:rFonts w:eastAsia="Calibri"/>
          <w:i/>
        </w:rPr>
        <w:tab/>
      </w:r>
      <w:r w:rsidRPr="004304A2">
        <w:rPr>
          <w:rFonts w:eastAsia="Calibri"/>
          <w:i/>
        </w:rPr>
        <w:t xml:space="preserve">Douglas Busman, Fatma </w:t>
      </w:r>
      <w:proofErr w:type="spellStart"/>
      <w:r w:rsidRPr="004304A2">
        <w:rPr>
          <w:rFonts w:eastAsia="Calibri"/>
          <w:i/>
        </w:rPr>
        <w:t>Ayyad</w:t>
      </w:r>
      <w:proofErr w:type="spellEnd"/>
      <w:r w:rsidRPr="004304A2">
        <w:rPr>
          <w:rFonts w:eastAsia="Calibri"/>
          <w:i/>
        </w:rPr>
        <w:t xml:space="preserve">, Sheryl </w:t>
      </w:r>
      <w:proofErr w:type="spellStart"/>
      <w:r w:rsidRPr="004304A2">
        <w:rPr>
          <w:rFonts w:eastAsia="Calibri"/>
          <w:i/>
        </w:rPr>
        <w:t>Vlietstra</w:t>
      </w:r>
      <w:proofErr w:type="spellEnd"/>
      <w:r w:rsidRPr="004304A2">
        <w:rPr>
          <w:rFonts w:eastAsia="Calibri"/>
          <w:i/>
        </w:rPr>
        <w:t>, and Paula Lancaster</w:t>
      </w:r>
      <w:bookmarkEnd w:id="4"/>
    </w:p>
    <w:p w14:paraId="2C050C3D" w14:textId="77777777" w:rsidR="001F4565" w:rsidRDefault="001F4565" w:rsidP="001F4565">
      <w:pPr>
        <w:spacing w:after="160" w:line="276" w:lineRule="auto"/>
        <w:contextualSpacing/>
        <w:rPr>
          <w:rFonts w:eastAsia="Calibri"/>
          <w:i/>
        </w:rPr>
      </w:pPr>
    </w:p>
    <w:p w14:paraId="58B33C40" w14:textId="77777777" w:rsidR="001F4565" w:rsidRPr="001F4565" w:rsidRDefault="001F4565" w:rsidP="001F4565">
      <w:pPr>
        <w:spacing w:after="160" w:line="276" w:lineRule="auto"/>
        <w:contextualSpacing/>
        <w:rPr>
          <w:rFonts w:eastAsia="Calibri"/>
          <w:i/>
        </w:rPr>
      </w:pPr>
      <w:r>
        <w:rPr>
          <w:rFonts w:eastAsia="Calibri"/>
          <w:i/>
        </w:rPr>
        <w:tab/>
      </w:r>
    </w:p>
    <w:p w14:paraId="6F1B5703" w14:textId="77777777" w:rsidR="001F4565" w:rsidRDefault="001F4565" w:rsidP="001F4565">
      <w:pPr>
        <w:spacing w:line="276" w:lineRule="auto"/>
        <w:rPr>
          <w:rFonts w:eastAsia="Calibri"/>
          <w:i/>
        </w:rPr>
      </w:pPr>
    </w:p>
    <w:p w14:paraId="06E60049" w14:textId="77777777" w:rsidR="001F4565" w:rsidRPr="001F4565" w:rsidRDefault="001F4565" w:rsidP="001F4565">
      <w:pPr>
        <w:spacing w:line="276" w:lineRule="auto"/>
        <w:rPr>
          <w:rFonts w:eastAsia="Calibri"/>
          <w:i/>
        </w:rPr>
      </w:pPr>
      <w:r>
        <w:rPr>
          <w:rFonts w:eastAsia="Calibri"/>
          <w:i/>
        </w:rPr>
        <w:tab/>
      </w:r>
    </w:p>
    <w:p w14:paraId="40A59D1A" w14:textId="77777777" w:rsidR="000B0280" w:rsidRDefault="000B0280" w:rsidP="000B0280">
      <w:pPr>
        <w:spacing w:line="276" w:lineRule="auto"/>
        <w:rPr>
          <w:rFonts w:eastAsia="Calibri"/>
          <w:i/>
        </w:rPr>
      </w:pPr>
    </w:p>
    <w:p w14:paraId="2C88CB35" w14:textId="77777777" w:rsidR="000B0280" w:rsidRDefault="000B0280" w:rsidP="000B0280">
      <w:pPr>
        <w:spacing w:line="276" w:lineRule="auto"/>
        <w:rPr>
          <w:rFonts w:eastAsia="Calibri"/>
          <w:i/>
        </w:rPr>
      </w:pPr>
      <w:r>
        <w:rPr>
          <w:rFonts w:eastAsia="Calibri"/>
          <w:i/>
        </w:rPr>
        <w:tab/>
      </w:r>
    </w:p>
    <w:p w14:paraId="16E88527" w14:textId="77777777" w:rsidR="000B0280" w:rsidRPr="000B0280" w:rsidRDefault="000B0280" w:rsidP="000B0280">
      <w:pPr>
        <w:spacing w:line="276" w:lineRule="auto"/>
        <w:rPr>
          <w:color w:val="000000"/>
        </w:rPr>
      </w:pPr>
    </w:p>
    <w:p w14:paraId="7148D4EC" w14:textId="77777777" w:rsidR="000B0280" w:rsidRDefault="000B0280" w:rsidP="000B0280">
      <w:pPr>
        <w:spacing w:line="276" w:lineRule="auto"/>
        <w:ind w:left="1440" w:hanging="660"/>
        <w:rPr>
          <w:i/>
          <w:color w:val="000000"/>
        </w:rPr>
      </w:pPr>
    </w:p>
    <w:p w14:paraId="121D64F0" w14:textId="77777777" w:rsidR="000B0280" w:rsidRPr="000B0280" w:rsidRDefault="000B0280" w:rsidP="000B0280">
      <w:pPr>
        <w:spacing w:line="276" w:lineRule="auto"/>
        <w:ind w:left="1440" w:hanging="660"/>
        <w:rPr>
          <w:i/>
          <w:color w:val="000000"/>
        </w:rPr>
      </w:pPr>
    </w:p>
    <w:p w14:paraId="0CB600C4" w14:textId="77777777" w:rsidR="00377BB9" w:rsidRPr="000B0280" w:rsidRDefault="00377BB9" w:rsidP="000B0280">
      <w:pPr>
        <w:spacing w:line="276" w:lineRule="auto"/>
        <w:ind w:left="1440" w:hanging="660"/>
        <w:rPr>
          <w:color w:val="000000"/>
        </w:rPr>
      </w:pPr>
    </w:p>
    <w:bookmarkEnd w:id="1"/>
    <w:p w14:paraId="3D480DCF" w14:textId="77777777" w:rsidR="00377BB9" w:rsidRDefault="00377BB9" w:rsidP="0096461C">
      <w:pPr>
        <w:jc w:val="center"/>
        <w:rPr>
          <w:sz w:val="28"/>
          <w:szCs w:val="28"/>
        </w:rPr>
      </w:pPr>
    </w:p>
    <w:p w14:paraId="1046974B" w14:textId="77777777" w:rsidR="00377BB9" w:rsidRDefault="00377BB9" w:rsidP="0096461C">
      <w:pPr>
        <w:jc w:val="center"/>
        <w:rPr>
          <w:sz w:val="28"/>
          <w:szCs w:val="28"/>
        </w:rPr>
      </w:pPr>
    </w:p>
    <w:p w14:paraId="7F26CA98" w14:textId="77777777" w:rsidR="00377BB9" w:rsidRDefault="00377BB9" w:rsidP="0096461C">
      <w:pPr>
        <w:jc w:val="center"/>
        <w:rPr>
          <w:sz w:val="28"/>
          <w:szCs w:val="28"/>
        </w:rPr>
      </w:pPr>
    </w:p>
    <w:p w14:paraId="0E372BD2" w14:textId="77777777" w:rsidR="00377BB9" w:rsidRDefault="00377BB9" w:rsidP="0096461C">
      <w:pPr>
        <w:jc w:val="center"/>
        <w:rPr>
          <w:sz w:val="28"/>
          <w:szCs w:val="28"/>
        </w:rPr>
      </w:pPr>
    </w:p>
    <w:p w14:paraId="7598E1D7" w14:textId="77777777" w:rsidR="001F4565" w:rsidRDefault="001F4565" w:rsidP="0096461C">
      <w:pPr>
        <w:jc w:val="center"/>
        <w:rPr>
          <w:sz w:val="28"/>
          <w:szCs w:val="28"/>
        </w:rPr>
      </w:pPr>
    </w:p>
    <w:p w14:paraId="051CEB0C" w14:textId="77777777" w:rsidR="0096461C" w:rsidRDefault="0096461C" w:rsidP="0096461C">
      <w:pPr>
        <w:jc w:val="center"/>
        <w:rPr>
          <w:sz w:val="28"/>
          <w:szCs w:val="28"/>
        </w:rPr>
      </w:pPr>
      <w:r>
        <w:rPr>
          <w:sz w:val="28"/>
          <w:szCs w:val="28"/>
        </w:rPr>
        <w:lastRenderedPageBreak/>
        <w:t>From the Editor</w:t>
      </w:r>
    </w:p>
    <w:p w14:paraId="4171DB3D" w14:textId="77777777" w:rsidR="0096461C" w:rsidRDefault="0096461C" w:rsidP="0096461C"/>
    <w:p w14:paraId="47F48F9F" w14:textId="77777777" w:rsidR="00876ED2" w:rsidRDefault="0096461C" w:rsidP="008C5B0E">
      <w:pPr>
        <w:spacing w:line="360" w:lineRule="auto"/>
        <w:jc w:val="both"/>
        <w:rPr>
          <w:i/>
        </w:rPr>
      </w:pPr>
      <w:r>
        <w:t xml:space="preserve">Dear Readers of </w:t>
      </w:r>
      <w:r>
        <w:rPr>
          <w:i/>
        </w:rPr>
        <w:t>The</w:t>
      </w:r>
      <w:r>
        <w:t xml:space="preserve"> </w:t>
      </w:r>
      <w:r w:rsidR="00BF7087">
        <w:rPr>
          <w:i/>
        </w:rPr>
        <w:t>Field Experience Journal:</w:t>
      </w:r>
    </w:p>
    <w:p w14:paraId="0C36A626" w14:textId="77777777" w:rsidR="00617744" w:rsidRPr="00014081" w:rsidRDefault="00501296" w:rsidP="00617744">
      <w:pPr>
        <w:widowControl w:val="0"/>
        <w:autoSpaceDE w:val="0"/>
        <w:autoSpaceDN w:val="0"/>
        <w:adjustRightInd w:val="0"/>
        <w:spacing w:line="360" w:lineRule="auto"/>
        <w:rPr>
          <w:rFonts w:eastAsia="Calibri"/>
          <w:i/>
        </w:rPr>
      </w:pPr>
      <w:r>
        <w:rPr>
          <w:i/>
        </w:rPr>
        <w:tab/>
      </w:r>
      <w:r w:rsidR="002A6279">
        <w:t>This edition of</w:t>
      </w:r>
      <w:r w:rsidR="00BD172B">
        <w:t xml:space="preserve"> </w:t>
      </w:r>
      <w:r w:rsidR="00BD172B" w:rsidRPr="00470822">
        <w:rPr>
          <w:i/>
        </w:rPr>
        <w:t xml:space="preserve">The Field Experience Journal </w:t>
      </w:r>
      <w:r w:rsidR="00B745D9">
        <w:t>begins with a submission from</w:t>
      </w:r>
      <w:r w:rsidR="006E4A93">
        <w:rPr>
          <w:rFonts w:eastAsia="Calibri"/>
        </w:rPr>
        <w:t xml:space="preserve"> </w:t>
      </w:r>
      <w:r w:rsidR="00617744" w:rsidRPr="00617744">
        <w:rPr>
          <w:rFonts w:eastAsia="Calibri"/>
        </w:rPr>
        <w:t>Ksenia S. Zhbanova</w:t>
      </w:r>
      <w:r w:rsidR="00014081">
        <w:rPr>
          <w:rFonts w:eastAsia="Calibri"/>
          <w:i/>
        </w:rPr>
        <w:t xml:space="preserve"> </w:t>
      </w:r>
      <w:r w:rsidR="00014081">
        <w:rPr>
          <w:rFonts w:eastAsia="Calibri"/>
        </w:rPr>
        <w:t>titled, “</w:t>
      </w:r>
      <w:r w:rsidR="00617744" w:rsidRPr="00014081">
        <w:rPr>
          <w:rFonts w:eastAsia="Calibri"/>
        </w:rPr>
        <w:t>International Pen-Pal Project: Benefits for Teacher Candidates</w:t>
      </w:r>
      <w:r w:rsidR="00014081">
        <w:rPr>
          <w:rFonts w:eastAsia="Calibri"/>
        </w:rPr>
        <w:t xml:space="preserve">”.  This article describes the benefits to American pre-service teachers and students in a </w:t>
      </w:r>
      <w:r w:rsidR="00014081" w:rsidRPr="00014081">
        <w:rPr>
          <w:rFonts w:eastAsia="Calibri"/>
        </w:rPr>
        <w:t xml:space="preserve">pen-pal project </w:t>
      </w:r>
      <w:r w:rsidR="00014081">
        <w:rPr>
          <w:rFonts w:eastAsia="Calibri"/>
        </w:rPr>
        <w:t>with</w:t>
      </w:r>
      <w:r w:rsidR="00014081" w:rsidRPr="00014081">
        <w:rPr>
          <w:rFonts w:eastAsia="Calibri"/>
        </w:rPr>
        <w:t xml:space="preserve"> a public school in Russia</w:t>
      </w:r>
      <w:r w:rsidR="00014081">
        <w:rPr>
          <w:rFonts w:eastAsia="Calibri"/>
        </w:rPr>
        <w:t xml:space="preserve"> </w:t>
      </w:r>
    </w:p>
    <w:p w14:paraId="2790BC0D" w14:textId="77777777" w:rsidR="00014081" w:rsidRDefault="00014081" w:rsidP="00014081">
      <w:pPr>
        <w:widowControl w:val="0"/>
        <w:autoSpaceDE w:val="0"/>
        <w:autoSpaceDN w:val="0"/>
        <w:adjustRightInd w:val="0"/>
        <w:spacing w:line="360" w:lineRule="auto"/>
        <w:rPr>
          <w:rFonts w:eastAsia="Calibri"/>
        </w:rPr>
      </w:pPr>
      <w:r>
        <w:rPr>
          <w:rFonts w:eastAsia="Calibri"/>
        </w:rPr>
        <w:tab/>
        <w:t xml:space="preserve"> </w:t>
      </w:r>
      <w:r w:rsidR="006E4A93" w:rsidRPr="006E4A93">
        <w:rPr>
          <w:rFonts w:eastAsia="Calibri"/>
        </w:rPr>
        <w:t xml:space="preserve"> </w:t>
      </w:r>
      <w:r>
        <w:rPr>
          <w:rFonts w:eastAsia="Calibri"/>
        </w:rPr>
        <w:t>“</w:t>
      </w:r>
      <w:r w:rsidRPr="00014081">
        <w:rPr>
          <w:rFonts w:eastAsia="Calibri"/>
        </w:rPr>
        <w:t>Immersed, Embedded, and Connected: Opportunities for Early Field</w:t>
      </w:r>
      <w:r>
        <w:rPr>
          <w:rFonts w:eastAsia="Calibri"/>
        </w:rPr>
        <w:t xml:space="preserve"> </w:t>
      </w:r>
      <w:r w:rsidRPr="00014081">
        <w:rPr>
          <w:rFonts w:eastAsia="Calibri"/>
        </w:rPr>
        <w:t>Experiences</w:t>
      </w:r>
      <w:r>
        <w:rPr>
          <w:rFonts w:eastAsia="Calibri"/>
        </w:rPr>
        <w:t xml:space="preserve">” by </w:t>
      </w:r>
      <w:r w:rsidRPr="00014081">
        <w:rPr>
          <w:rFonts w:eastAsia="Calibri"/>
        </w:rPr>
        <w:t>Terri Jongekrijg and Robert Wiggins</w:t>
      </w:r>
      <w:r w:rsidR="00587AC2" w:rsidRPr="00587AC2">
        <w:rPr>
          <w:color w:val="000000"/>
        </w:rPr>
        <w:t xml:space="preserve"> </w:t>
      </w:r>
      <w:r w:rsidR="00587AC2">
        <w:rPr>
          <w:color w:val="000000"/>
        </w:rPr>
        <w:t xml:space="preserve">shares the </w:t>
      </w:r>
      <w:r w:rsidR="00587AC2" w:rsidRPr="00587AC2">
        <w:rPr>
          <w:rFonts w:eastAsia="Calibri"/>
        </w:rPr>
        <w:t xml:space="preserve">goal of early field experiences </w:t>
      </w:r>
      <w:r w:rsidR="00587AC2">
        <w:rPr>
          <w:rFonts w:eastAsia="Calibri"/>
        </w:rPr>
        <w:t>and the need to</w:t>
      </w:r>
      <w:r w:rsidR="00587AC2" w:rsidRPr="00587AC2">
        <w:rPr>
          <w:rFonts w:eastAsia="Calibri"/>
        </w:rPr>
        <w:t xml:space="preserve"> link university knowledge and learning to</w:t>
      </w:r>
      <w:r w:rsidR="00587AC2">
        <w:rPr>
          <w:rFonts w:eastAsia="Calibri"/>
        </w:rPr>
        <w:t xml:space="preserve"> </w:t>
      </w:r>
      <w:r w:rsidR="00587AC2" w:rsidRPr="00587AC2">
        <w:rPr>
          <w:rFonts w:eastAsia="Calibri"/>
        </w:rPr>
        <w:t>authentic practice of school classroom teaching and learning</w:t>
      </w:r>
      <w:r w:rsidR="00587AC2">
        <w:rPr>
          <w:rFonts w:eastAsia="Calibri"/>
        </w:rPr>
        <w:t>.</w:t>
      </w:r>
    </w:p>
    <w:p w14:paraId="768AF3B2" w14:textId="77777777" w:rsidR="00E02294" w:rsidRPr="00014081" w:rsidRDefault="00E02294" w:rsidP="00014081">
      <w:pPr>
        <w:widowControl w:val="0"/>
        <w:autoSpaceDE w:val="0"/>
        <w:autoSpaceDN w:val="0"/>
        <w:adjustRightInd w:val="0"/>
        <w:spacing w:line="360" w:lineRule="auto"/>
        <w:rPr>
          <w:rFonts w:eastAsia="Calibri"/>
        </w:rPr>
      </w:pPr>
      <w:r>
        <w:rPr>
          <w:rFonts w:eastAsia="Calibri"/>
        </w:rPr>
        <w:tab/>
      </w:r>
      <w:r w:rsidR="002B6E90">
        <w:rPr>
          <w:rFonts w:eastAsia="Calibri"/>
        </w:rPr>
        <w:t xml:space="preserve">In their submission, “Reflection vs. Critical Self-Reflection”, Pamela Vaughn and Susan Reily </w:t>
      </w:r>
      <w:r w:rsidR="002B6E90" w:rsidRPr="002B6E90">
        <w:rPr>
          <w:rFonts w:eastAsia="Calibri"/>
        </w:rPr>
        <w:t xml:space="preserve">provide </w:t>
      </w:r>
      <w:r w:rsidR="002B6E90">
        <w:rPr>
          <w:rFonts w:eastAsia="Calibri"/>
        </w:rPr>
        <w:t>their</w:t>
      </w:r>
      <w:r w:rsidR="002B6E90" w:rsidRPr="002B6E90">
        <w:rPr>
          <w:rFonts w:eastAsia="Calibri"/>
        </w:rPr>
        <w:t xml:space="preserve"> beliefs about critical reflection during a practicum and how it impacted the learning opportunities for </w:t>
      </w:r>
      <w:r w:rsidR="002B6E90">
        <w:rPr>
          <w:rFonts w:eastAsia="Calibri"/>
        </w:rPr>
        <w:t>teacher candidates.</w:t>
      </w:r>
    </w:p>
    <w:p w14:paraId="4BB3DD9D" w14:textId="77777777" w:rsidR="000608F8" w:rsidRPr="007E29B2" w:rsidRDefault="006E4A93" w:rsidP="00F12CD5">
      <w:pPr>
        <w:widowControl w:val="0"/>
        <w:autoSpaceDE w:val="0"/>
        <w:autoSpaceDN w:val="0"/>
        <w:adjustRightInd w:val="0"/>
        <w:spacing w:line="360" w:lineRule="auto"/>
        <w:rPr>
          <w:rFonts w:eastAsia="Calibri"/>
        </w:rPr>
      </w:pPr>
      <w:r w:rsidRPr="006E4A93">
        <w:rPr>
          <w:rFonts w:eastAsia="Calibri"/>
        </w:rPr>
        <w:t xml:space="preserve"> </w:t>
      </w:r>
      <w:r w:rsidR="00F12CD5">
        <w:rPr>
          <w:rFonts w:eastAsia="Calibri"/>
        </w:rPr>
        <w:tab/>
      </w:r>
      <w:r w:rsidR="007E29B2" w:rsidRPr="007E29B2">
        <w:rPr>
          <w:rFonts w:eastAsia="Calibri"/>
          <w:iCs/>
        </w:rPr>
        <w:t>Irene Frank and Mei Chang</w:t>
      </w:r>
      <w:r w:rsidR="007E29B2">
        <w:rPr>
          <w:rFonts w:eastAsia="Calibri"/>
          <w:iCs/>
        </w:rPr>
        <w:t xml:space="preserve"> examine student teaching evaluations completed by both cooperating teachers and university supervisors in their submission, “Consistency in Student Teacher Evaluations:</w:t>
      </w:r>
      <w:r w:rsidR="003E5B1B">
        <w:rPr>
          <w:rFonts w:eastAsia="Calibri"/>
          <w:iCs/>
        </w:rPr>
        <w:t xml:space="preserve"> A Comparison of Cooperating Teachers and Supervisors”.</w:t>
      </w:r>
    </w:p>
    <w:p w14:paraId="4E49A3E1" w14:textId="77777777" w:rsidR="006E4A93" w:rsidRPr="00C10AC9" w:rsidRDefault="00C10AC9" w:rsidP="007E29B2">
      <w:pPr>
        <w:widowControl w:val="0"/>
        <w:autoSpaceDE w:val="0"/>
        <w:autoSpaceDN w:val="0"/>
        <w:adjustRightInd w:val="0"/>
        <w:spacing w:line="360" w:lineRule="auto"/>
        <w:ind w:firstLine="720"/>
        <w:rPr>
          <w:rFonts w:eastAsia="Calibri"/>
          <w:iCs/>
        </w:rPr>
      </w:pPr>
      <w:r>
        <w:rPr>
          <w:rFonts w:eastAsia="Calibri"/>
          <w:iCs/>
          <w:lang w:bidi="en-US"/>
        </w:rPr>
        <w:t>“</w:t>
      </w:r>
      <w:r w:rsidR="007E29B2" w:rsidRPr="007E29B2">
        <w:rPr>
          <w:rFonts w:eastAsia="Calibri"/>
          <w:iCs/>
        </w:rPr>
        <w:t>Pre-</w:t>
      </w:r>
      <w:r>
        <w:rPr>
          <w:rFonts w:eastAsia="Calibri"/>
          <w:iCs/>
        </w:rPr>
        <w:t>S</w:t>
      </w:r>
      <w:r w:rsidR="007E29B2" w:rsidRPr="007E29B2">
        <w:rPr>
          <w:rFonts w:eastAsia="Calibri"/>
          <w:iCs/>
        </w:rPr>
        <w:t>ervice Co-Teaching Research: The Continuing Value of Monitoring Student Achievement</w:t>
      </w:r>
      <w:r>
        <w:rPr>
          <w:rFonts w:eastAsia="Calibri"/>
          <w:iCs/>
        </w:rPr>
        <w:t xml:space="preserve">” shared by a team from Grand Valley State University comprised of </w:t>
      </w:r>
      <w:r w:rsidR="007E29B2" w:rsidRPr="00C10AC9">
        <w:rPr>
          <w:rFonts w:eastAsia="Calibri"/>
          <w:iCs/>
        </w:rPr>
        <w:t xml:space="preserve">Douglas Busman, Fatma </w:t>
      </w:r>
      <w:proofErr w:type="spellStart"/>
      <w:r w:rsidR="007E29B2" w:rsidRPr="00C10AC9">
        <w:rPr>
          <w:rFonts w:eastAsia="Calibri"/>
          <w:iCs/>
        </w:rPr>
        <w:t>Ayyad</w:t>
      </w:r>
      <w:proofErr w:type="spellEnd"/>
      <w:r w:rsidR="007E29B2" w:rsidRPr="00C10AC9">
        <w:rPr>
          <w:rFonts w:eastAsia="Calibri"/>
          <w:iCs/>
        </w:rPr>
        <w:t xml:space="preserve">, Sheryl </w:t>
      </w:r>
      <w:proofErr w:type="spellStart"/>
      <w:r w:rsidR="007E29B2" w:rsidRPr="00C10AC9">
        <w:rPr>
          <w:rFonts w:eastAsia="Calibri"/>
          <w:iCs/>
        </w:rPr>
        <w:t>Vlietstra</w:t>
      </w:r>
      <w:proofErr w:type="spellEnd"/>
      <w:r w:rsidR="007E29B2" w:rsidRPr="00C10AC9">
        <w:rPr>
          <w:rFonts w:eastAsia="Calibri"/>
          <w:iCs/>
        </w:rPr>
        <w:t>, and Paula Lancaster</w:t>
      </w:r>
      <w:r>
        <w:rPr>
          <w:rFonts w:eastAsia="Calibri"/>
          <w:iCs/>
        </w:rPr>
        <w:t xml:space="preserve"> is a </w:t>
      </w:r>
      <w:r w:rsidRPr="00C10AC9">
        <w:rPr>
          <w:rFonts w:eastAsia="Calibri"/>
          <w:iCs/>
        </w:rPr>
        <w:t xml:space="preserve">mixed-methods study </w:t>
      </w:r>
      <w:r>
        <w:rPr>
          <w:rFonts w:eastAsia="Calibri"/>
          <w:iCs/>
        </w:rPr>
        <w:t>where the team</w:t>
      </w:r>
      <w:r w:rsidRPr="00C10AC9">
        <w:rPr>
          <w:rFonts w:eastAsia="Calibri"/>
          <w:iCs/>
        </w:rPr>
        <w:t xml:space="preserve"> collect</w:t>
      </w:r>
      <w:r>
        <w:rPr>
          <w:rFonts w:eastAsia="Calibri"/>
          <w:iCs/>
        </w:rPr>
        <w:t>ed</w:t>
      </w:r>
      <w:r w:rsidRPr="00C10AC9">
        <w:rPr>
          <w:rFonts w:eastAsia="Calibri"/>
          <w:iCs/>
        </w:rPr>
        <w:t xml:space="preserve"> and analyze</w:t>
      </w:r>
      <w:r>
        <w:rPr>
          <w:rFonts w:eastAsia="Calibri"/>
          <w:iCs/>
        </w:rPr>
        <w:t>d</w:t>
      </w:r>
      <w:r w:rsidRPr="00C10AC9">
        <w:rPr>
          <w:rFonts w:eastAsia="Calibri"/>
          <w:iCs/>
        </w:rPr>
        <w:t xml:space="preserve"> both quantitative and qualitative data to ascertain how an implemented pre-service co-teaching model might influence teaching and learning.  </w:t>
      </w:r>
    </w:p>
    <w:p w14:paraId="7A20D264" w14:textId="77777777" w:rsidR="0096461C" w:rsidRDefault="00B7655F" w:rsidP="00F94F12">
      <w:pPr>
        <w:spacing w:line="360" w:lineRule="auto"/>
      </w:pPr>
      <w:r>
        <w:tab/>
      </w:r>
      <w:r w:rsidR="0096461C">
        <w:t>Finally, my thanks to those who have contributed their manuscripts for our consideration and to our review</w:t>
      </w:r>
      <w:r w:rsidR="00EC35B6">
        <w:t>e</w:t>
      </w:r>
      <w:r w:rsidR="00F63957">
        <w:t>rs for their time and expertise.</w:t>
      </w:r>
      <w:r w:rsidR="00EC35B6">
        <w:t xml:space="preserve"> </w:t>
      </w:r>
    </w:p>
    <w:p w14:paraId="5834367F" w14:textId="77777777" w:rsidR="0096461C" w:rsidRDefault="0096461C" w:rsidP="00F94F12">
      <w:pPr>
        <w:spacing w:line="276" w:lineRule="auto"/>
      </w:pPr>
      <w:r>
        <w:tab/>
      </w:r>
    </w:p>
    <w:p w14:paraId="661B7CD4" w14:textId="77777777" w:rsidR="0096461C" w:rsidRDefault="000955A0" w:rsidP="00F94F12">
      <w:pPr>
        <w:sectPr w:rsidR="0096461C" w:rsidSect="006B7598">
          <w:headerReference w:type="default" r:id="rId8"/>
          <w:footerReference w:type="even" r:id="rId9"/>
          <w:footerReference w:type="default" r:id="rId10"/>
          <w:type w:val="continuous"/>
          <w:pgSz w:w="12240" w:h="15840"/>
          <w:pgMar w:top="1440" w:right="1800" w:bottom="1440" w:left="1800" w:header="720" w:footer="720" w:gutter="0"/>
          <w:pgNumType w:fmt="lowerRoman"/>
          <w:cols w:space="720"/>
          <w:docGrid w:linePitch="360"/>
        </w:sectPr>
      </w:pPr>
      <w:r>
        <w:t>Kim L. Creasy</w:t>
      </w:r>
    </w:p>
    <w:p w14:paraId="4790B0EC" w14:textId="77777777" w:rsidR="0049419D" w:rsidRPr="0049419D" w:rsidRDefault="0049419D" w:rsidP="0049419D">
      <w:pPr>
        <w:spacing w:line="480" w:lineRule="auto"/>
        <w:jc w:val="center"/>
        <w:rPr>
          <w:b/>
        </w:rPr>
      </w:pPr>
      <w:bookmarkStart w:id="5" w:name="_Hlk6425537"/>
      <w:r w:rsidRPr="0049419D">
        <w:rPr>
          <w:b/>
        </w:rPr>
        <w:lastRenderedPageBreak/>
        <w:t>International Pen-Pal Project: Benefits for Teacher Candidates</w:t>
      </w:r>
    </w:p>
    <w:p w14:paraId="14E03AC2" w14:textId="77777777" w:rsidR="0049419D" w:rsidRPr="0049419D" w:rsidRDefault="0049419D" w:rsidP="0049419D">
      <w:pPr>
        <w:spacing w:line="480" w:lineRule="auto"/>
        <w:jc w:val="center"/>
        <w:rPr>
          <w:i/>
        </w:rPr>
      </w:pPr>
      <w:r w:rsidRPr="0049419D">
        <w:rPr>
          <w:i/>
        </w:rPr>
        <w:t>Ksenia S. Zhbanova</w:t>
      </w:r>
    </w:p>
    <w:bookmarkEnd w:id="5"/>
    <w:p w14:paraId="793AE2F7" w14:textId="77777777" w:rsidR="0049419D" w:rsidRPr="0049419D" w:rsidRDefault="0049419D" w:rsidP="0049419D">
      <w:pPr>
        <w:spacing w:line="480" w:lineRule="auto"/>
        <w:jc w:val="center"/>
        <w:rPr>
          <w:i/>
        </w:rPr>
      </w:pPr>
      <w:r w:rsidRPr="0049419D">
        <w:rPr>
          <w:i/>
        </w:rPr>
        <w:t>Mississippi State University</w:t>
      </w:r>
    </w:p>
    <w:p w14:paraId="63220A4D" w14:textId="77777777" w:rsidR="0049419D" w:rsidRPr="0049419D" w:rsidRDefault="0049419D" w:rsidP="0049419D">
      <w:pPr>
        <w:spacing w:line="480" w:lineRule="auto"/>
        <w:jc w:val="center"/>
        <w:rPr>
          <w:b/>
        </w:rPr>
      </w:pPr>
    </w:p>
    <w:p w14:paraId="2BF20D75" w14:textId="77777777" w:rsidR="0049419D" w:rsidRPr="0049419D" w:rsidRDefault="0049419D" w:rsidP="0049419D">
      <w:pPr>
        <w:spacing w:line="480" w:lineRule="auto"/>
        <w:jc w:val="center"/>
        <w:rPr>
          <w:b/>
        </w:rPr>
      </w:pPr>
      <w:r w:rsidRPr="0049419D">
        <w:rPr>
          <w:b/>
        </w:rPr>
        <w:t>Abstract</w:t>
      </w:r>
    </w:p>
    <w:p w14:paraId="7FFB010A" w14:textId="77777777" w:rsidR="0049419D" w:rsidRPr="0049419D" w:rsidRDefault="0049419D" w:rsidP="0049419D">
      <w:pPr>
        <w:tabs>
          <w:tab w:val="left" w:pos="5580"/>
        </w:tabs>
        <w:spacing w:line="480" w:lineRule="auto"/>
        <w:rPr>
          <w:color w:val="000000"/>
        </w:rPr>
      </w:pPr>
      <w:r w:rsidRPr="0049419D">
        <w:rPr>
          <w:color w:val="000000"/>
        </w:rPr>
        <w:t xml:space="preserve">This article describes a </w:t>
      </w:r>
      <w:bookmarkStart w:id="6" w:name="_Hlk7812763"/>
      <w:r w:rsidRPr="0049419D">
        <w:rPr>
          <w:color w:val="000000"/>
        </w:rPr>
        <w:t>pen-pal project between American preservice teachers and students from a public school in Russia</w:t>
      </w:r>
      <w:bookmarkEnd w:id="6"/>
      <w:r w:rsidRPr="0049419D">
        <w:rPr>
          <w:color w:val="000000"/>
        </w:rPr>
        <w:t xml:space="preserve">. </w:t>
      </w:r>
      <w:r w:rsidR="00F15AAF">
        <w:rPr>
          <w:color w:val="000000"/>
        </w:rPr>
        <w:t xml:space="preserve"> </w:t>
      </w:r>
      <w:r w:rsidRPr="0049419D">
        <w:rPr>
          <w:color w:val="000000"/>
        </w:rPr>
        <w:t xml:space="preserve">Project description and suggestions on conducting similar projects are included. </w:t>
      </w:r>
      <w:r w:rsidR="00F15AAF">
        <w:rPr>
          <w:color w:val="000000"/>
        </w:rPr>
        <w:t xml:space="preserve"> </w:t>
      </w:r>
      <w:r w:rsidRPr="0049419D">
        <w:rPr>
          <w:color w:val="000000"/>
        </w:rPr>
        <w:t>An international pen-pal project can be a valuable part of field experience because it allows teacher candidates to systematically apply knowledge of methods of teaching English Language Learners (ELLs) in an authentic context.</w:t>
      </w:r>
      <w:r w:rsidR="00F15AAF">
        <w:rPr>
          <w:color w:val="000000"/>
        </w:rPr>
        <w:t xml:space="preserve"> </w:t>
      </w:r>
      <w:r w:rsidRPr="0049419D">
        <w:rPr>
          <w:color w:val="000000"/>
        </w:rPr>
        <w:t xml:space="preserve"> Pen-pals exchanged 2 sets of letters. </w:t>
      </w:r>
      <w:r w:rsidR="00F15AAF">
        <w:rPr>
          <w:color w:val="000000"/>
        </w:rPr>
        <w:t xml:space="preserve"> </w:t>
      </w:r>
      <w:r w:rsidRPr="0049419D">
        <w:rPr>
          <w:color w:val="000000"/>
        </w:rPr>
        <w:t>Teacher candidates engaged in inquiry-based discussions of diversity, teaching methods, and culturally-responsive pedagogy after every letter exchange.</w:t>
      </w:r>
      <w:r w:rsidR="00F15AAF">
        <w:rPr>
          <w:color w:val="000000"/>
        </w:rPr>
        <w:t xml:space="preserve"> </w:t>
      </w:r>
      <w:r w:rsidRPr="0049419D">
        <w:rPr>
          <w:color w:val="000000"/>
        </w:rPr>
        <w:t xml:space="preserve"> One of the main goals of the project was helping preservice teachers become more culturally- and linguistically- responsive through inquiry and self-reflection, which according to the participants, positively affected their future teaching practices. </w:t>
      </w:r>
      <w:r w:rsidR="00F15AAF">
        <w:rPr>
          <w:color w:val="000000"/>
        </w:rPr>
        <w:t xml:space="preserve"> </w:t>
      </w:r>
      <w:r w:rsidRPr="0049419D">
        <w:rPr>
          <w:color w:val="000000"/>
        </w:rPr>
        <w:t xml:space="preserve">The insights of the participants can be divided into seven categories: inquiry, language-related difficulties; attitude toward ELLs; influence of culture; building relationships with students; common humanity and discovering assumptions through self-reflection. </w:t>
      </w:r>
    </w:p>
    <w:p w14:paraId="5B63DE08" w14:textId="77777777" w:rsidR="0049419D" w:rsidRPr="0049419D" w:rsidRDefault="0049419D" w:rsidP="0049419D">
      <w:pPr>
        <w:spacing w:line="480" w:lineRule="auto"/>
      </w:pPr>
      <w:r w:rsidRPr="0049419D">
        <w:rPr>
          <w:b/>
          <w:bCs/>
          <w:color w:val="000000"/>
        </w:rPr>
        <w:t>Keywords</w:t>
      </w:r>
      <w:r w:rsidRPr="0049419D">
        <w:rPr>
          <w:color w:val="000000"/>
        </w:rPr>
        <w:t xml:space="preserve">: international </w:t>
      </w:r>
      <w:r w:rsidRPr="0049419D">
        <w:t>pen-pal project, English Language Learner (ELL), culturally-responsive teaching, diversity, authentic field experience</w:t>
      </w:r>
    </w:p>
    <w:p w14:paraId="2149CD6C" w14:textId="77777777" w:rsidR="0049419D" w:rsidRPr="0049419D" w:rsidRDefault="0049419D" w:rsidP="0049419D">
      <w:pPr>
        <w:spacing w:line="480" w:lineRule="auto"/>
        <w:rPr>
          <w:color w:val="000000"/>
        </w:rPr>
      </w:pPr>
    </w:p>
    <w:p w14:paraId="275A6D05" w14:textId="77777777" w:rsidR="0049419D" w:rsidRPr="0049419D" w:rsidRDefault="0049419D" w:rsidP="0049419D">
      <w:pPr>
        <w:spacing w:line="480" w:lineRule="auto"/>
        <w:rPr>
          <w:color w:val="000000"/>
        </w:rPr>
      </w:pPr>
    </w:p>
    <w:p w14:paraId="531528EA" w14:textId="77777777" w:rsidR="0049419D" w:rsidRPr="0049419D" w:rsidRDefault="0049419D" w:rsidP="0049419D">
      <w:pPr>
        <w:spacing w:line="480" w:lineRule="auto"/>
        <w:rPr>
          <w:color w:val="000000"/>
        </w:rPr>
      </w:pPr>
    </w:p>
    <w:p w14:paraId="6DCF7983" w14:textId="77777777" w:rsidR="0049419D" w:rsidRPr="0049419D" w:rsidRDefault="0049419D" w:rsidP="0049419D">
      <w:pPr>
        <w:spacing w:line="480" w:lineRule="auto"/>
        <w:rPr>
          <w:color w:val="000000"/>
        </w:rPr>
      </w:pPr>
    </w:p>
    <w:p w14:paraId="4B7594FE" w14:textId="77777777" w:rsidR="0049419D" w:rsidRPr="0049419D" w:rsidRDefault="0049419D" w:rsidP="0049419D">
      <w:pPr>
        <w:spacing w:line="480" w:lineRule="auto"/>
        <w:jc w:val="center"/>
        <w:rPr>
          <w:b/>
        </w:rPr>
      </w:pPr>
      <w:r w:rsidRPr="0049419D">
        <w:rPr>
          <w:b/>
        </w:rPr>
        <w:lastRenderedPageBreak/>
        <w:t>Introduction</w:t>
      </w:r>
    </w:p>
    <w:p w14:paraId="78E1BE98" w14:textId="77777777" w:rsidR="0049419D" w:rsidRPr="0049419D" w:rsidRDefault="0049419D" w:rsidP="0049419D">
      <w:pPr>
        <w:spacing w:line="480" w:lineRule="auto"/>
        <w:ind w:firstLine="720"/>
      </w:pPr>
      <w:r w:rsidRPr="0049419D">
        <w:t>Communication is vital for reducing prejudice and building relationships based on deep understanding (Allport, 1954).</w:t>
      </w:r>
      <w:r w:rsidR="00F15AAF">
        <w:t xml:space="preserve"> </w:t>
      </w:r>
      <w:r w:rsidRPr="0049419D">
        <w:t xml:space="preserve"> This understanding and emerging relationships can allow them to recognize each other as humans with a common “core” of values and needs, rather than “abstract” groups (e.g. Russians) or a “collection” of diverse characteristics (Miller &amp; </w:t>
      </w:r>
      <w:proofErr w:type="spellStart"/>
      <w:r w:rsidRPr="0049419D">
        <w:t>Mikulec</w:t>
      </w:r>
      <w:proofErr w:type="spellEnd"/>
      <w:r w:rsidRPr="0049419D">
        <w:t xml:space="preserve">, 2014). </w:t>
      </w:r>
      <w:r w:rsidR="00F15AAF">
        <w:t xml:space="preserve"> </w:t>
      </w:r>
      <w:r w:rsidRPr="0049419D">
        <w:t xml:space="preserve">Teachers need to view diversity from a strength-based perspective, which is essential to successfully address the needs of culturally and linguistically diverse students. </w:t>
      </w:r>
    </w:p>
    <w:p w14:paraId="0759C3C2" w14:textId="77777777" w:rsidR="0049419D" w:rsidRPr="0049419D" w:rsidRDefault="0049419D" w:rsidP="0049419D">
      <w:pPr>
        <w:spacing w:line="480" w:lineRule="auto"/>
        <w:jc w:val="center"/>
      </w:pPr>
      <w:r w:rsidRPr="0049419D">
        <w:rPr>
          <w:b/>
        </w:rPr>
        <w:t>Culturally and Linguistically Responsive Teaching</w:t>
      </w:r>
    </w:p>
    <w:p w14:paraId="19B7AABE" w14:textId="77777777" w:rsidR="0049419D" w:rsidRPr="0049419D" w:rsidRDefault="0049419D" w:rsidP="0049419D">
      <w:pPr>
        <w:spacing w:line="480" w:lineRule="auto"/>
        <w:ind w:firstLine="720"/>
      </w:pPr>
      <w:r w:rsidRPr="0049419D">
        <w:t xml:space="preserve">The world today is becoming more and more interconnected making education more international at all levels (Balistreri, Giacomo, Noisette, &amp; </w:t>
      </w:r>
      <w:proofErr w:type="spellStart"/>
      <w:r w:rsidRPr="0049419D">
        <w:t>Ptak</w:t>
      </w:r>
      <w:proofErr w:type="spellEnd"/>
      <w:r w:rsidRPr="0049419D">
        <w:t>, 2012).</w:t>
      </w:r>
      <w:r w:rsidR="00F15AAF">
        <w:t xml:space="preserve"> </w:t>
      </w:r>
      <w:r w:rsidRPr="0049419D">
        <w:t xml:space="preserve"> According to the National Center for Education Statistics (2017), the number of ELLs at public schools increased from approximately 9.1% or 4.3 million students in 2005 to 9.4% or 4.6 million students in 2015. </w:t>
      </w:r>
      <w:proofErr w:type="spellStart"/>
      <w:r w:rsidRPr="0049419D">
        <w:t>Thibehault</w:t>
      </w:r>
      <w:proofErr w:type="spellEnd"/>
      <w:r w:rsidRPr="0049419D">
        <w:t>, Kuhlman, and Day (2011) reported that approximately 1.5 million school students in California are not proficient in English to partake in daily classroom activities.</w:t>
      </w:r>
      <w:r w:rsidR="00F15AAF">
        <w:t xml:space="preserve"> </w:t>
      </w:r>
      <w:r w:rsidRPr="0049419D">
        <w:t xml:space="preserve"> This makes teachers’ goal of helping all students reach their full academic potential harder to reach (</w:t>
      </w:r>
      <w:proofErr w:type="spellStart"/>
      <w:r w:rsidRPr="0049419D">
        <w:t>Auslander</w:t>
      </w:r>
      <w:proofErr w:type="spellEnd"/>
      <w:r w:rsidRPr="0049419D">
        <w:t xml:space="preserve">, 2018). </w:t>
      </w:r>
      <w:r w:rsidR="00F15AAF">
        <w:t xml:space="preserve"> </w:t>
      </w:r>
      <w:r w:rsidRPr="0049419D">
        <w:t xml:space="preserve">To effectively work with ELLs, educators need adequate preparation that includes developing positive dispositions, understanding of language as a system tightly connected with culture and their impact on teaching and learning. </w:t>
      </w:r>
      <w:r w:rsidR="00F15AAF">
        <w:t xml:space="preserve"> </w:t>
      </w:r>
      <w:r w:rsidRPr="0049419D">
        <w:t xml:space="preserve">Teachers need to deliver instruction based on the culture, knowledge, and experience of each child because a familiar cultural context is one of the vital components supporting academic success of ELLs (TESOL, 2010). </w:t>
      </w:r>
      <w:r w:rsidR="00F15AAF">
        <w:t xml:space="preserve"> </w:t>
      </w:r>
      <w:r w:rsidRPr="0049419D">
        <w:rPr>
          <w:color w:val="000000"/>
        </w:rPr>
        <w:t>This context is also the essence of culturally- and linguistically- responsive teaching (Ladson-Billings,1994)</w:t>
      </w:r>
      <w:r w:rsidRPr="0049419D">
        <w:t xml:space="preserve">. </w:t>
      </w:r>
    </w:p>
    <w:p w14:paraId="361DF684" w14:textId="77777777" w:rsidR="0049419D" w:rsidRPr="0049419D" w:rsidRDefault="0049419D" w:rsidP="0049419D">
      <w:pPr>
        <w:spacing w:line="480" w:lineRule="auto"/>
        <w:ind w:firstLine="720"/>
      </w:pPr>
      <w:r w:rsidRPr="0049419D">
        <w:lastRenderedPageBreak/>
        <w:t xml:space="preserve">Preservice teachers in the study by Terrill and Mark (2000), indicated that they felt uncomfortable about working with ELL students. </w:t>
      </w:r>
      <w:r w:rsidR="00F15AAF">
        <w:t xml:space="preserve"> </w:t>
      </w:r>
      <w:r w:rsidRPr="0049419D">
        <w:t xml:space="preserve">Coursework focused on methods and strategies for ELLs is not enough. </w:t>
      </w:r>
      <w:r w:rsidR="00F15AAF">
        <w:t xml:space="preserve"> </w:t>
      </w:r>
      <w:r w:rsidRPr="0049419D">
        <w:t xml:space="preserve">According to the Constructivist theory, preservice teachers need to apply knowledge from these courses to fully integrate it into their practice (Jones, </w:t>
      </w:r>
      <w:proofErr w:type="spellStart"/>
      <w:r w:rsidRPr="0049419D">
        <w:t>Flohr</w:t>
      </w:r>
      <w:proofErr w:type="spellEnd"/>
      <w:r w:rsidRPr="0049419D">
        <w:t xml:space="preserve">, &amp; Martin, 2015). </w:t>
      </w:r>
      <w:r w:rsidR="00F15AAF">
        <w:t xml:space="preserve"> </w:t>
      </w:r>
      <w:r w:rsidRPr="0049419D">
        <w:t>Hence, during field experiences, they need opportunities to work with ELLs in an environment enhancing teacher candidates’ sense of self-efficacy (</w:t>
      </w:r>
      <w:proofErr w:type="spellStart"/>
      <w:r w:rsidRPr="0049419D">
        <w:t>Stoynoff</w:t>
      </w:r>
      <w:proofErr w:type="spellEnd"/>
      <w:r w:rsidRPr="0049419D">
        <w:t xml:space="preserve">, 1999; Singh, 2017). </w:t>
      </w:r>
      <w:r w:rsidR="00F15AAF">
        <w:t xml:space="preserve"> </w:t>
      </w:r>
      <w:r w:rsidRPr="0049419D">
        <w:t xml:space="preserve">Field experience is one of the most influential components of Teacher Education (Galindo &amp; Newton, 2017). </w:t>
      </w:r>
      <w:r w:rsidR="00F15AAF">
        <w:t xml:space="preserve"> </w:t>
      </w:r>
      <w:r w:rsidRPr="0049419D">
        <w:t>Its effectiveness depends on engaging teacher candidates in systematic inquiry and self-reflection (</w:t>
      </w:r>
      <w:proofErr w:type="spellStart"/>
      <w:r w:rsidRPr="0049419D">
        <w:t>Kayapinar</w:t>
      </w:r>
      <w:proofErr w:type="spellEnd"/>
      <w:r w:rsidRPr="0049419D">
        <w:t>, 2016), which connects knowledge from methods courses to real-life situations (</w:t>
      </w:r>
      <w:proofErr w:type="spellStart"/>
      <w:r w:rsidRPr="0049419D">
        <w:t>Caprano</w:t>
      </w:r>
      <w:proofErr w:type="spellEnd"/>
      <w:r w:rsidRPr="0049419D">
        <w:t xml:space="preserve">, </w:t>
      </w:r>
      <w:proofErr w:type="spellStart"/>
      <w:r w:rsidRPr="0049419D">
        <w:t>Caprano</w:t>
      </w:r>
      <w:proofErr w:type="spellEnd"/>
      <w:r w:rsidRPr="0049419D">
        <w:t xml:space="preserve">, &amp; </w:t>
      </w:r>
      <w:proofErr w:type="spellStart"/>
      <w:r w:rsidRPr="0049419D">
        <w:t>Helfeldt</w:t>
      </w:r>
      <w:proofErr w:type="spellEnd"/>
      <w:r w:rsidRPr="0049419D">
        <w:t xml:space="preserve">, 2010). </w:t>
      </w:r>
      <w:r w:rsidR="00F15AAF">
        <w:t xml:space="preserve"> </w:t>
      </w:r>
      <w:r w:rsidRPr="0049419D">
        <w:t xml:space="preserve">Inquiry and self-reflection are also essential to foster an attitude of appreciation for diversity and a deeper understanding of the role of language in teaching and learning. </w:t>
      </w:r>
      <w:r w:rsidR="00F15AAF">
        <w:t xml:space="preserve"> </w:t>
      </w:r>
      <w:r w:rsidRPr="0049419D">
        <w:t xml:space="preserve">Additionally, they help candidates investigate their beliefs, biases, and misconceptions (Ladson-Billing, 1994). </w:t>
      </w:r>
    </w:p>
    <w:p w14:paraId="36870856" w14:textId="77777777" w:rsidR="0049419D" w:rsidRPr="0049419D" w:rsidRDefault="0049419D" w:rsidP="0049419D">
      <w:pPr>
        <w:spacing w:line="480" w:lineRule="auto"/>
        <w:ind w:firstLine="720"/>
      </w:pPr>
      <w:r w:rsidRPr="0049419D">
        <w:t xml:space="preserve">A study of an authentic field experience for preservice teachers demonstrated that interacting with diverse populations of students helped candidates reach a deeper understanding of the concept of diversity, relate to students, and see them as “real” children, not abstract categories with separate attributes, such as ethnicity and language (Miller &amp; </w:t>
      </w:r>
      <w:proofErr w:type="spellStart"/>
      <w:r w:rsidRPr="0049419D">
        <w:t>Mikulec</w:t>
      </w:r>
      <w:proofErr w:type="spellEnd"/>
      <w:r w:rsidRPr="0049419D">
        <w:t>, 2014). Unfortunately, not all universities have access to schools with diverse populations.</w:t>
      </w:r>
      <w:r w:rsidR="00F15AAF">
        <w:t xml:space="preserve"> </w:t>
      </w:r>
      <w:r w:rsidRPr="0049419D">
        <w:t xml:space="preserve"> A pen-pal project with international students could be a valuable part of field experience, help candidates embed theory into practice, and become culturally-responsive, reflective professionals. </w:t>
      </w:r>
    </w:p>
    <w:p w14:paraId="755791AC" w14:textId="77777777" w:rsidR="0049419D" w:rsidRPr="0049419D" w:rsidRDefault="0049419D" w:rsidP="0049419D">
      <w:pPr>
        <w:spacing w:line="480" w:lineRule="auto"/>
        <w:jc w:val="center"/>
      </w:pPr>
      <w:r w:rsidRPr="0049419D">
        <w:rPr>
          <w:b/>
        </w:rPr>
        <w:t>Current Project, Lessons Learned, and Suggestions on Conducting Pen-Pal Projects</w:t>
      </w:r>
    </w:p>
    <w:p w14:paraId="3B7C69CC" w14:textId="77777777" w:rsidR="0049419D" w:rsidRPr="0049419D" w:rsidRDefault="0049419D" w:rsidP="0049419D">
      <w:pPr>
        <w:tabs>
          <w:tab w:val="left" w:pos="720"/>
        </w:tabs>
        <w:spacing w:line="480" w:lineRule="auto"/>
      </w:pPr>
      <w:r w:rsidRPr="0049419D">
        <w:tab/>
        <w:t xml:space="preserve">During this project, I collaborated with a teacher of English as a Second Language in Russia. </w:t>
      </w:r>
      <w:r w:rsidR="00F15AAF">
        <w:t xml:space="preserve"> </w:t>
      </w:r>
      <w:r w:rsidRPr="0049419D">
        <w:t xml:space="preserve">Participants were 10 education majors from a university in the Southeastern United </w:t>
      </w:r>
      <w:r w:rsidRPr="0049419D">
        <w:lastRenderedPageBreak/>
        <w:t>States and</w:t>
      </w:r>
      <w:r w:rsidRPr="0049419D">
        <w:rPr>
          <w:color w:val="000000"/>
        </w:rPr>
        <w:t xml:space="preserve"> middle schoolers from a public school in </w:t>
      </w:r>
      <w:r w:rsidRPr="0049419D">
        <w:t>a large city in North Eastern part of Russia</w:t>
      </w:r>
      <w:r w:rsidRPr="0049419D">
        <w:rPr>
          <w:color w:val="000000"/>
        </w:rPr>
        <w:t xml:space="preserve">. </w:t>
      </w:r>
      <w:r w:rsidRPr="0049419D">
        <w:t xml:space="preserve">Teacher candidates were intrigued, and excited about the project because, as many of them shared, they have not done anything of the kind before. </w:t>
      </w:r>
      <w:r w:rsidR="00F15AAF">
        <w:t xml:space="preserve"> </w:t>
      </w:r>
      <w:r w:rsidRPr="0049419D">
        <w:t xml:space="preserve">They had about a week to write the initial letters. </w:t>
      </w:r>
      <w:r w:rsidR="00F15AAF">
        <w:t xml:space="preserve"> </w:t>
      </w:r>
      <w:r w:rsidRPr="0049419D">
        <w:t xml:space="preserve">The project allowed a lot of freedom for self-expression (see Appendix A for project guidelines and candidate-generated ideas). </w:t>
      </w:r>
      <w:r w:rsidR="00F15AAF">
        <w:t xml:space="preserve"> </w:t>
      </w:r>
      <w:r w:rsidRPr="0049419D">
        <w:t xml:space="preserve">Candidates only knew the pen-pals’ first names, gender, and age. </w:t>
      </w:r>
      <w:r w:rsidR="00F15AAF">
        <w:t xml:space="preserve"> </w:t>
      </w:r>
      <w:r w:rsidRPr="0049419D">
        <w:t>Letters were scanned and emailed to the teacher in Russia.</w:t>
      </w:r>
      <w:r w:rsidR="00F15AAF">
        <w:t xml:space="preserve"> </w:t>
      </w:r>
      <w:r w:rsidRPr="0049419D">
        <w:t xml:space="preserve"> She printed them and helped her students write responses over a course of 2 weeks. </w:t>
      </w:r>
    </w:p>
    <w:p w14:paraId="2EF389C2" w14:textId="77777777" w:rsidR="0049419D" w:rsidRPr="0049419D" w:rsidRDefault="0049419D" w:rsidP="0049419D">
      <w:pPr>
        <w:tabs>
          <w:tab w:val="left" w:pos="720"/>
        </w:tabs>
        <w:spacing w:line="480" w:lineRule="auto"/>
      </w:pPr>
      <w:r w:rsidRPr="0049419D">
        <w:tab/>
        <w:t xml:space="preserve">During a lively in-class discussion of letter-writing, many of the candidates noted that writing to someone they have never met was difficult and proposed that it would have been even harder for their pen-pals, which demonstrates empathy toward the pen-pals. </w:t>
      </w:r>
      <w:r w:rsidR="00F15AAF">
        <w:t xml:space="preserve"> </w:t>
      </w:r>
      <w:r w:rsidRPr="0049419D">
        <w:t xml:space="preserve">Also, candidates expressed worries about unintentionally hurting the pen-pals through miscommunication due to cultural differences. </w:t>
      </w:r>
      <w:r w:rsidR="00F15AAF">
        <w:t xml:space="preserve"> </w:t>
      </w:r>
      <w:r w:rsidRPr="0049419D">
        <w:t xml:space="preserve">This too demonstrates a growing empathy and understanding of possible implications of cultural differences. </w:t>
      </w:r>
      <w:r w:rsidR="00F15AAF">
        <w:t xml:space="preserve"> </w:t>
      </w:r>
      <w:r w:rsidRPr="0049419D">
        <w:t xml:space="preserve">Another shared emotion was the excitement about talking to “real kids” from a different country. </w:t>
      </w:r>
    </w:p>
    <w:p w14:paraId="4FF8985D" w14:textId="77777777" w:rsidR="0049419D" w:rsidRPr="0049419D" w:rsidRDefault="0049419D" w:rsidP="0049419D">
      <w:pPr>
        <w:tabs>
          <w:tab w:val="left" w:pos="720"/>
        </w:tabs>
        <w:spacing w:line="480" w:lineRule="auto"/>
      </w:pPr>
      <w:r w:rsidRPr="0049419D">
        <w:tab/>
        <w:t>This pen-pal project gave candidates a chance to practice communicating with ELLs in a supportive atmosphere with access to necessary resources, which, according to my observations and candidates’ feedback, helped them feel more comfortable about ELLs.</w:t>
      </w:r>
      <w:r w:rsidR="00F15AAF">
        <w:t xml:space="preserve"> </w:t>
      </w:r>
      <w:r w:rsidRPr="0049419D">
        <w:t xml:space="preserve"> The atmosphere of letter-writing is conducive to exploring other cultures, developing cultural sensitivity and appreciation of differences (Peters,1985; Charron, 2007). </w:t>
      </w:r>
      <w:r w:rsidR="00F15AAF">
        <w:t xml:space="preserve"> </w:t>
      </w:r>
      <w:r w:rsidRPr="0049419D">
        <w:t xml:space="preserve">Before teacher candidates began working on the second set of letters, the initial requirements for the letters, except general format, were dropped to help communication stay authentic and be guided by the participants and their interests. </w:t>
      </w:r>
      <w:r w:rsidR="00F15AAF">
        <w:t xml:space="preserve"> </w:t>
      </w:r>
      <w:r w:rsidRPr="0049419D">
        <w:t xml:space="preserve">I skimmed all incoming and outgoing letters to find examples for class discussions and to be ready to address possible miscommunication. </w:t>
      </w:r>
    </w:p>
    <w:p w14:paraId="0EFA0D2B" w14:textId="77777777" w:rsidR="0049419D" w:rsidRPr="0049419D" w:rsidRDefault="0049419D" w:rsidP="0049419D">
      <w:pPr>
        <w:tabs>
          <w:tab w:val="left" w:pos="720"/>
        </w:tabs>
        <w:spacing w:line="480" w:lineRule="auto"/>
      </w:pPr>
      <w:r w:rsidRPr="0049419D">
        <w:lastRenderedPageBreak/>
        <w:tab/>
        <w:t xml:space="preserve">During discussions, preservice teachers practiced inquiry and investigated the role of culture and language in communication, teaching, and learning. </w:t>
      </w:r>
      <w:r w:rsidR="00F15AAF">
        <w:t xml:space="preserve"> </w:t>
      </w:r>
      <w:r w:rsidRPr="0049419D">
        <w:t xml:space="preserve">We examined challenges they faced when writing and reading letters, found similarities and differences in pen-pals’ responses and made connections with culture, life experiences, language proficiency, and others. </w:t>
      </w:r>
      <w:r w:rsidR="00F15AAF">
        <w:t xml:space="preserve"> </w:t>
      </w:r>
      <w:r w:rsidRPr="0049419D">
        <w:t xml:space="preserve">I encouraged preservice teachers to lead these discussions because social interaction is crucial for connecting new and preexisting knowledge according to Vygotsky’s Theory of Language Development (Charron, 2007). </w:t>
      </w:r>
      <w:r w:rsidR="00F15AAF">
        <w:t xml:space="preserve"> </w:t>
      </w:r>
      <w:r w:rsidRPr="0049419D">
        <w:t>I also asked guiding questions to ensure that such important factors as socioeconomic status, ability levels, religion, and others were taken into consideration when inferring about the implications of linguistic and cultural differences in classrooms.</w:t>
      </w:r>
      <w:r w:rsidRPr="0049419D" w:rsidDel="00624FDB">
        <w:t xml:space="preserve"> </w:t>
      </w:r>
      <w:r w:rsidR="00F15AAF">
        <w:t xml:space="preserve"> </w:t>
      </w:r>
      <w:r w:rsidRPr="0049419D">
        <w:t xml:space="preserve">The following situation is an example of such discussion: One preservice teacher read a sentence from her pen-pal’s letter where he stated that he was in eighth class. </w:t>
      </w:r>
      <w:r w:rsidR="00F15AAF">
        <w:t xml:space="preserve"> </w:t>
      </w:r>
      <w:r w:rsidRPr="0049419D">
        <w:t xml:space="preserve">Teacher candidates quickly understood that the pen-pal meant “eighth grade”. </w:t>
      </w:r>
      <w:r w:rsidR="00F15AAF">
        <w:t xml:space="preserve"> </w:t>
      </w:r>
      <w:r w:rsidRPr="0049419D">
        <w:t xml:space="preserve">One proposed that the word choice was influenced by the limited English proficiency. </w:t>
      </w:r>
      <w:r w:rsidR="00F15AAF">
        <w:t xml:space="preserve"> </w:t>
      </w:r>
      <w:r w:rsidRPr="0049419D">
        <w:t xml:space="preserve">Another candidate applied her knowledge of methods of teaching ELLs and asked me to translate the word “grade” into Russian. </w:t>
      </w:r>
      <w:r w:rsidR="00F15AAF">
        <w:t xml:space="preserve"> </w:t>
      </w:r>
      <w:r w:rsidRPr="0049419D">
        <w:t xml:space="preserve">After hearing a word that sounded very similar to the English word “class”, she suggested that the pen-pal may have assumed that these words have the same meaning because they sound alike. </w:t>
      </w:r>
    </w:p>
    <w:p w14:paraId="29D7D4E2" w14:textId="77777777" w:rsidR="0049419D" w:rsidRPr="0049419D" w:rsidRDefault="0049419D" w:rsidP="0049419D">
      <w:pPr>
        <w:spacing w:line="480" w:lineRule="auto"/>
        <w:ind w:firstLine="720"/>
      </w:pPr>
      <w:r w:rsidRPr="0049419D">
        <w:t xml:space="preserve">In addition to culture and traditions, Russian pen-pals wrote about their friends, pets, hobbies, schools, etc. </w:t>
      </w:r>
      <w:r w:rsidR="00F15AAF">
        <w:t xml:space="preserve"> </w:t>
      </w:r>
      <w:r w:rsidRPr="0049419D">
        <w:t>Preservice teachers noticed many similarities and differences between American and Russian schools and proposed that they are caused by the similarities and differences in culture, history, and economic situation in the countries.</w:t>
      </w:r>
      <w:r w:rsidR="00F15AAF">
        <w:t xml:space="preserve"> </w:t>
      </w:r>
      <w:r w:rsidRPr="0049419D">
        <w:t xml:space="preserve"> According to Hare (1999), such cross-cultural experiences help participants see the degree of influence of the broad social and cultural contexts and processes on a person’s life and world view. </w:t>
      </w:r>
      <w:r w:rsidR="00F15AAF">
        <w:t xml:space="preserve"> </w:t>
      </w:r>
      <w:r w:rsidRPr="0049419D">
        <w:t xml:space="preserve">Despite these differences, the candidates began building relationships with their pen-pals. In fact, several of them were offered to stay connected after the project. </w:t>
      </w:r>
      <w:r w:rsidR="00F15AAF">
        <w:t xml:space="preserve"> </w:t>
      </w:r>
      <w:r w:rsidRPr="0049419D">
        <w:t xml:space="preserve">The current project concluded with obtaining feedback from the candidates on the project’s utility for future teachers. </w:t>
      </w:r>
    </w:p>
    <w:p w14:paraId="580EA6A9" w14:textId="77777777" w:rsidR="0049419D" w:rsidRPr="0049419D" w:rsidRDefault="0049419D" w:rsidP="0049419D">
      <w:pPr>
        <w:spacing w:line="480" w:lineRule="auto"/>
        <w:jc w:val="center"/>
        <w:rPr>
          <w:b/>
        </w:rPr>
      </w:pPr>
      <w:r w:rsidRPr="0049419D">
        <w:rPr>
          <w:b/>
        </w:rPr>
        <w:t>Inquiry</w:t>
      </w:r>
    </w:p>
    <w:p w14:paraId="451C82F4" w14:textId="77777777" w:rsidR="0049419D" w:rsidRPr="0049419D" w:rsidRDefault="0049419D" w:rsidP="0049419D">
      <w:pPr>
        <w:spacing w:line="480" w:lineRule="auto"/>
        <w:ind w:firstLine="720"/>
      </w:pPr>
      <w:r w:rsidRPr="0049419D">
        <w:t>The authentic context of the pen-pal project provided a clear purpose, strong motivation, and numerous opportunities to use inquiry and self-reflection.</w:t>
      </w:r>
      <w:r w:rsidR="00F15AAF">
        <w:t xml:space="preserve"> </w:t>
      </w:r>
      <w:r w:rsidRPr="0049419D">
        <w:t xml:space="preserve"> Preservice teachers experienced and analyzed situations that often arise in a classroom with ELLs.</w:t>
      </w:r>
      <w:r w:rsidR="00F15AAF">
        <w:t xml:space="preserve"> </w:t>
      </w:r>
      <w:r w:rsidRPr="0049419D">
        <w:t xml:space="preserve"> Rankin (1992) also found a pen-pal project between university and elementary students to be highly effective for developing teacher candidates’ critical thinking. </w:t>
      </w:r>
      <w:r w:rsidR="00F15AAF">
        <w:t xml:space="preserve"> </w:t>
      </w:r>
      <w:r w:rsidRPr="0049419D">
        <w:t xml:space="preserve">This result seems unsurprising because interacting with culturally diverse students cultivates critical thinking and creative approach to teaching (TESOL, 2010). </w:t>
      </w:r>
      <w:r w:rsidR="00F15AAF">
        <w:t xml:space="preserve"> </w:t>
      </w:r>
      <w:r w:rsidRPr="0049419D">
        <w:t>Because inquiry is one of the main components of a successful teacher preparation program (</w:t>
      </w:r>
      <w:proofErr w:type="spellStart"/>
      <w:r w:rsidRPr="0049419D">
        <w:t>Caprano</w:t>
      </w:r>
      <w:proofErr w:type="spellEnd"/>
      <w:r w:rsidRPr="0049419D">
        <w:t xml:space="preserve">, et. al, 2010), I devoted a significant portion of the course to discussions guided by the candidates toward the topics they found meaningful, which motivated them to practice noticing, inquiry, and self-reflection. </w:t>
      </w:r>
      <w:r w:rsidR="00F15AAF">
        <w:t xml:space="preserve"> </w:t>
      </w:r>
      <w:r w:rsidRPr="0049419D">
        <w:t>Participants were eager to share, ask questions, infer about the causes of the issues discussed, give suggestions, and hypothesize how these issues could manifest at school</w:t>
      </w:r>
      <w:r w:rsidRPr="0049419D">
        <w:rPr>
          <w:color w:val="000000"/>
        </w:rPr>
        <w:t xml:space="preserve">. </w:t>
      </w:r>
      <w:r w:rsidR="00F15AAF">
        <w:rPr>
          <w:color w:val="000000"/>
        </w:rPr>
        <w:t xml:space="preserve"> </w:t>
      </w:r>
      <w:r w:rsidRPr="0049419D">
        <w:rPr>
          <w:color w:val="000000"/>
        </w:rPr>
        <w:t xml:space="preserve">There were several themes that seemed to have facilitated inquiry and self-reflection the most: language-related difficulties; attitude toward ELLs, influence of culture, education, and life experiences; building relationships with students; common humanity; using self-reflection to discover preexisting assumptions of preservice teachers. </w:t>
      </w:r>
      <w:r w:rsidR="00F15AAF">
        <w:rPr>
          <w:color w:val="000000"/>
        </w:rPr>
        <w:t xml:space="preserve"> </w:t>
      </w:r>
      <w:r w:rsidRPr="0049419D">
        <w:rPr>
          <w:color w:val="000000"/>
        </w:rPr>
        <w:t>These themes also represent the main learning areas.</w:t>
      </w:r>
    </w:p>
    <w:p w14:paraId="71D89125" w14:textId="77777777" w:rsidR="0049419D" w:rsidRPr="0049419D" w:rsidRDefault="0049419D" w:rsidP="0049419D">
      <w:pPr>
        <w:spacing w:line="480" w:lineRule="auto"/>
        <w:ind w:firstLine="720"/>
        <w:rPr>
          <w:b/>
        </w:rPr>
      </w:pPr>
      <w:r w:rsidRPr="0049419D">
        <w:rPr>
          <w:b/>
        </w:rPr>
        <w:t xml:space="preserve">Language-related difficulties. </w:t>
      </w:r>
      <w:r w:rsidRPr="0049419D">
        <w:t xml:space="preserve">According to Merriam Webster (n.d.), a language barrier is “a difficulty for people communicating because they speak different languages”. </w:t>
      </w:r>
      <w:r w:rsidR="00F15AAF">
        <w:t xml:space="preserve"> </w:t>
      </w:r>
      <w:r w:rsidRPr="0049419D">
        <w:t>Challenges related to the language barrier that naturally occurred during this project are likely to happen in a classroom.</w:t>
      </w:r>
      <w:r w:rsidR="00F15AAF">
        <w:t xml:space="preserve"> </w:t>
      </w:r>
      <w:r w:rsidRPr="0049419D">
        <w:t xml:space="preserve"> For example, one candidate asked: “What are some of the tools you used or ways that you determined phrases or words that were not clear?”</w:t>
      </w:r>
      <w:r w:rsidR="00F15AAF">
        <w:t xml:space="preserve"> </w:t>
      </w:r>
      <w:r w:rsidRPr="0049419D">
        <w:t xml:space="preserve"> This question ignited a discussion of strategies from various methods courses. </w:t>
      </w:r>
      <w:r w:rsidR="00F15AAF">
        <w:t xml:space="preserve"> </w:t>
      </w:r>
      <w:r w:rsidRPr="0049419D">
        <w:t>Another candidate reported that her pen-pal wrote about a dish he called “flotation pasta”.</w:t>
      </w:r>
      <w:r w:rsidR="00F15AAF">
        <w:t xml:space="preserve"> </w:t>
      </w:r>
      <w:r w:rsidRPr="0049419D">
        <w:t xml:space="preserve"> After some deliberation, they concluded that the pen-pal translated the name of the dish word for word due to limited English proficiency, and the meaning of the name of the dish was lost.</w:t>
      </w:r>
      <w:r w:rsidR="00F15AAF">
        <w:t xml:space="preserve"> </w:t>
      </w:r>
      <w:r w:rsidRPr="0049419D">
        <w:t xml:space="preserve"> Then, they proceeded to discuss possible impacts of the language barrier on teaching and learning. </w:t>
      </w:r>
      <w:r w:rsidR="00F15AAF">
        <w:t xml:space="preserve"> </w:t>
      </w:r>
      <w:r w:rsidRPr="0049419D">
        <w:t xml:space="preserve">Preservice teachers determined that using differentiation strategies is critical for student academic success, particularly during assessment to ensure the knowledge and understanding of the content are assessed, not language proficiency. </w:t>
      </w:r>
    </w:p>
    <w:p w14:paraId="1C4535B9" w14:textId="77777777" w:rsidR="0049419D" w:rsidRPr="0049419D" w:rsidRDefault="0049419D" w:rsidP="0049419D">
      <w:pPr>
        <w:spacing w:line="480" w:lineRule="auto"/>
      </w:pPr>
      <w:r w:rsidRPr="0049419D">
        <w:tab/>
        <w:t xml:space="preserve">Several candidates found misspellings in their pen-pal’s letters. </w:t>
      </w:r>
      <w:r w:rsidR="00F15AAF">
        <w:t xml:space="preserve"> </w:t>
      </w:r>
      <w:r w:rsidRPr="0049419D">
        <w:t>Among others, they referred to the spelling of the word favorite (</w:t>
      </w:r>
      <w:proofErr w:type="spellStart"/>
      <w:r w:rsidRPr="0049419D">
        <w:t>favourite</w:t>
      </w:r>
      <w:proofErr w:type="spellEnd"/>
      <w:r w:rsidRPr="0049419D">
        <w:t xml:space="preserve">). </w:t>
      </w:r>
      <w:r w:rsidR="00F15AAF">
        <w:t xml:space="preserve"> </w:t>
      </w:r>
      <w:r w:rsidRPr="0049419D">
        <w:t xml:space="preserve">One made a connection to her preexisting experience with American students and suggested that the pen-pal used phonetic spelling. </w:t>
      </w:r>
      <w:r w:rsidR="00F15AAF">
        <w:t xml:space="preserve"> </w:t>
      </w:r>
      <w:r w:rsidRPr="0049419D">
        <w:t xml:space="preserve">Yet another candidate offered a different explanation. </w:t>
      </w:r>
      <w:r w:rsidR="00F15AAF">
        <w:t xml:space="preserve"> </w:t>
      </w:r>
      <w:r w:rsidRPr="0049419D">
        <w:t xml:space="preserve">She showed the word “theater” spelled differently (theatre) in her pen-pal’s response and stated that this was a British spelling of the word. </w:t>
      </w:r>
      <w:r w:rsidR="00F15AAF">
        <w:t xml:space="preserve"> </w:t>
      </w:r>
      <w:r w:rsidRPr="0049419D">
        <w:t xml:space="preserve">I confirmed that often, Russian students are taught British spelling and pronunciation. Candidates concluded that to address the needs of ELLs, teachers need to first clearly understand the difficulties ELLs are experiencing and their causes. </w:t>
      </w:r>
      <w:r w:rsidR="00F15AAF">
        <w:t xml:space="preserve"> </w:t>
      </w:r>
      <w:r w:rsidRPr="0049419D">
        <w:t xml:space="preserve">Candidates also determined that language has a profound impact on all aspects of </w:t>
      </w:r>
      <w:proofErr w:type="spellStart"/>
      <w:r w:rsidRPr="0049419D">
        <w:t>ELLs’</w:t>
      </w:r>
      <w:proofErr w:type="spellEnd"/>
      <w:r w:rsidRPr="0049419D">
        <w:t xml:space="preserve"> learning and socialization. </w:t>
      </w:r>
    </w:p>
    <w:p w14:paraId="262AC8A9" w14:textId="77777777" w:rsidR="0049419D" w:rsidRPr="0049419D" w:rsidRDefault="0049419D" w:rsidP="0049419D">
      <w:pPr>
        <w:spacing w:line="480" w:lineRule="auto"/>
        <w:ind w:firstLine="720"/>
      </w:pPr>
      <w:r w:rsidRPr="0049419D">
        <w:rPr>
          <w:b/>
        </w:rPr>
        <w:t xml:space="preserve">Influence of the project on attitude toward ELLs. </w:t>
      </w:r>
      <w:r w:rsidRPr="0049419D">
        <w:t xml:space="preserve">Exchanging written letters with Russian adolescents gave preservice teachers a chance to become more attuned to the needs and struggles of ELLs through building personal relationships with the pen-pals and sharing their feelings, thoughts, and concerns with supportive peers. </w:t>
      </w:r>
      <w:r w:rsidR="00F15AAF">
        <w:t xml:space="preserve"> </w:t>
      </w:r>
      <w:r w:rsidRPr="0049419D">
        <w:t xml:space="preserve">One of the teacher candidates shared her discovery with the class: “…these kids from Russia … How nervous they were because it is a big deal to write a whole letter. </w:t>
      </w:r>
      <w:r w:rsidR="00F15AAF">
        <w:t xml:space="preserve"> </w:t>
      </w:r>
      <w:r w:rsidRPr="0049419D">
        <w:t xml:space="preserve">It probably took them a lot [of time].” </w:t>
      </w:r>
      <w:r w:rsidR="00F15AAF">
        <w:t xml:space="preserve"> </w:t>
      </w:r>
      <w:r w:rsidRPr="0049419D">
        <w:t xml:space="preserve">Another remarked: “…so if we did it in Russian, it would take up to 2 weeks.” </w:t>
      </w:r>
      <w:r w:rsidR="00C93D65">
        <w:t xml:space="preserve"> </w:t>
      </w:r>
      <w:r w:rsidRPr="0049419D">
        <w:t>Preservice teachers then expressed the new appreciation of their pen-pals’ bravery and discussed how awareness of this challenge affected their future teaching practices and improved their attitudes toward ELLs.</w:t>
      </w:r>
    </w:p>
    <w:p w14:paraId="5260B5B0" w14:textId="77777777" w:rsidR="0049419D" w:rsidRPr="0049419D" w:rsidRDefault="0049419D" w:rsidP="0049419D">
      <w:pPr>
        <w:spacing w:line="480" w:lineRule="auto"/>
        <w:ind w:firstLine="720"/>
      </w:pPr>
      <w:r w:rsidRPr="0049419D">
        <w:t xml:space="preserve">Another candidate shared a personal story about attending a school where students weren’t accepting of the ELLs. </w:t>
      </w:r>
      <w:r w:rsidR="00C93D65">
        <w:t xml:space="preserve"> </w:t>
      </w:r>
      <w:r w:rsidRPr="0049419D">
        <w:t xml:space="preserve">Peers diminished and disregarded their struggles by saying that they needed to “just learn how to speak English!”. </w:t>
      </w:r>
      <w:r w:rsidR="005765CC">
        <w:t xml:space="preserve"> </w:t>
      </w:r>
      <w:r w:rsidRPr="0049419D">
        <w:t xml:space="preserve">She expressed her disapproval of this treatment and stated that after the pen-pal project, she developed a strong appreciation of the </w:t>
      </w:r>
      <w:proofErr w:type="spellStart"/>
      <w:r w:rsidRPr="0049419D">
        <w:t>ELLs’</w:t>
      </w:r>
      <w:proofErr w:type="spellEnd"/>
      <w:r w:rsidRPr="0049419D">
        <w:t xml:space="preserve"> struggles and empathy toward them. </w:t>
      </w:r>
      <w:r w:rsidR="005765CC">
        <w:t xml:space="preserve"> </w:t>
      </w:r>
      <w:r w:rsidRPr="0049419D">
        <w:t xml:space="preserve">Others agreed that being more understanding of the ELLs will be much easier because of this communication with Russian teenagers. </w:t>
      </w:r>
      <w:r w:rsidR="005765CC">
        <w:t xml:space="preserve"> </w:t>
      </w:r>
      <w:r w:rsidRPr="0049419D">
        <w:t>Another effect of this project indicated by several candidates was a desire to learn the native languages of their future ELL students to help them learn better and feel welcomed.</w:t>
      </w:r>
      <w:r w:rsidR="005765CC">
        <w:t xml:space="preserve"> </w:t>
      </w:r>
      <w:r w:rsidRPr="0049419D">
        <w:t xml:space="preserve"> All preservice teachers were delighted to see how effortless building personal relationships with Russian students was. </w:t>
      </w:r>
    </w:p>
    <w:p w14:paraId="632706EA" w14:textId="77777777" w:rsidR="0049419D" w:rsidRPr="0049419D" w:rsidRDefault="0049419D" w:rsidP="0049419D">
      <w:pPr>
        <w:spacing w:line="480" w:lineRule="auto"/>
        <w:ind w:firstLine="720"/>
      </w:pPr>
      <w:r w:rsidRPr="0049419D">
        <w:rPr>
          <w:b/>
        </w:rPr>
        <w:t xml:space="preserve">Culture, education, life experiences, and their influence. </w:t>
      </w:r>
      <w:r w:rsidRPr="0049419D">
        <w:t xml:space="preserve">During the project, teacher candidates discovered many similarities and differences between American and Russian cultures. According to my observations, these discoveries and the subsequent discussions helped them become more curious about other cultures and the effects of culture on a person’s behavior and perception of the world and teaching and learning consequently. </w:t>
      </w:r>
      <w:r w:rsidR="005765CC">
        <w:t xml:space="preserve"> </w:t>
      </w:r>
      <w:r w:rsidRPr="0049419D">
        <w:t xml:space="preserve">For example, preservice teachers concluded that what is considered “mundane” in one culture could be perceived completely differently by someone from another culture. </w:t>
      </w:r>
      <w:r w:rsidR="005765CC">
        <w:t xml:space="preserve"> </w:t>
      </w:r>
      <w:r w:rsidRPr="0049419D">
        <w:t>One of them shared: “I have read in a few letters that the students go to the "country" or the "village" during summer.</w:t>
      </w:r>
      <w:r w:rsidR="005765CC">
        <w:t xml:space="preserve"> </w:t>
      </w:r>
      <w:r w:rsidRPr="0049419D">
        <w:t xml:space="preserve"> I am not sure if that is something that a lot of people from Russia do.” </w:t>
      </w:r>
      <w:r w:rsidR="005765CC">
        <w:t xml:space="preserve"> </w:t>
      </w:r>
      <w:r w:rsidRPr="0049419D">
        <w:t xml:space="preserve">Another candidate continued with an example from her pen-pal’s letter: </w:t>
      </w:r>
    </w:p>
    <w:p w14:paraId="6B412103" w14:textId="77777777" w:rsidR="0049419D" w:rsidRPr="0049419D" w:rsidRDefault="0049419D" w:rsidP="0049419D">
      <w:pPr>
        <w:spacing w:line="480" w:lineRule="auto"/>
        <w:ind w:firstLine="720"/>
      </w:pPr>
      <w:r w:rsidRPr="0049419D">
        <w:t xml:space="preserve">“‘Soon we will go to the country. </w:t>
      </w:r>
      <w:r w:rsidR="005765CC">
        <w:t xml:space="preserve"> </w:t>
      </w:r>
      <w:r w:rsidRPr="0049419D">
        <w:t xml:space="preserve">We will plant vegetables, fruits, flowers.’ </w:t>
      </w:r>
      <w:r w:rsidR="005765CC">
        <w:t xml:space="preserve"> </w:t>
      </w:r>
      <w:r w:rsidRPr="0049419D">
        <w:t xml:space="preserve">That was different to me because I go to the country every day. </w:t>
      </w:r>
      <w:r w:rsidR="005765CC">
        <w:t xml:space="preserve"> </w:t>
      </w:r>
      <w:r w:rsidRPr="0049419D">
        <w:t xml:space="preserve">I actually live in the country. </w:t>
      </w:r>
      <w:r w:rsidR="005765CC">
        <w:t xml:space="preserve"> </w:t>
      </w:r>
      <w:r w:rsidRPr="0049419D">
        <w:t xml:space="preserve">He talked about going to the country like he does not go there very often.” </w:t>
      </w:r>
    </w:p>
    <w:p w14:paraId="3C9C6068" w14:textId="77777777" w:rsidR="0049419D" w:rsidRPr="0049419D" w:rsidRDefault="0049419D" w:rsidP="0049419D">
      <w:pPr>
        <w:spacing w:line="480" w:lineRule="auto"/>
        <w:ind w:firstLine="720"/>
      </w:pPr>
      <w:r w:rsidRPr="0049419D">
        <w:t xml:space="preserve">The next preservice teacher added: “That is very strange about these trips to the country. This makes me wonder if this is (a) job that his family must do. (...) I would love to know more about “the country.” </w:t>
      </w:r>
      <w:r w:rsidR="005765CC">
        <w:t xml:space="preserve"> </w:t>
      </w:r>
      <w:r w:rsidRPr="0049419D">
        <w:t xml:space="preserve">I explained that what the pen-pal was referring to was either visiting grandparents who live in the country or renting a summer cottage with his parents to get away from the big city life and grow some produce to use in winter. </w:t>
      </w:r>
      <w:r w:rsidR="005765CC">
        <w:t xml:space="preserve"> </w:t>
      </w:r>
      <w:r w:rsidRPr="0049419D">
        <w:t>Preservice teachers indicated that this seemed odd to them, but then added that some American customs they introduced the pen-pals to could have seemed strange to Russian teenagers.</w:t>
      </w:r>
      <w:r w:rsidR="005765CC">
        <w:t xml:space="preserve"> </w:t>
      </w:r>
      <w:r w:rsidRPr="0049419D">
        <w:t xml:space="preserve"> This discussion lead to a conclusion that a student’s behavior is largely affected by his/her culture, habits, education, life experiences, and that it is vital for teachers to educate themselves and keep an open mind. </w:t>
      </w:r>
      <w:r w:rsidR="005765CC">
        <w:t xml:space="preserve"> </w:t>
      </w:r>
      <w:r w:rsidRPr="0049419D">
        <w:t>Preservice teachers also concluded that these factors are so intertwined that it is often hard to distinguish which factor influenced the pen-pals’ reactions, the content of letters, and others.</w:t>
      </w:r>
    </w:p>
    <w:p w14:paraId="562B5A69" w14:textId="77777777" w:rsidR="0049419D" w:rsidRPr="0049419D" w:rsidRDefault="0049419D" w:rsidP="0049419D">
      <w:pPr>
        <w:spacing w:line="480" w:lineRule="auto"/>
        <w:ind w:firstLine="720"/>
      </w:pPr>
      <w:r w:rsidRPr="0049419D">
        <w:t xml:space="preserve">Many discussions involved comparing educational systems of the countries. </w:t>
      </w:r>
      <w:r w:rsidR="005765CC">
        <w:t xml:space="preserve"> </w:t>
      </w:r>
      <w:r w:rsidRPr="0049419D">
        <w:t xml:space="preserve">Teacher candidates concluded that transferring from one system to another can significantly influence student academic success and emotional wellbeing. </w:t>
      </w:r>
      <w:r w:rsidR="005765CC">
        <w:t xml:space="preserve"> </w:t>
      </w:r>
      <w:r w:rsidRPr="0049419D">
        <w:t>One of the Russian pen-pals explained to his/her counterpart which grade levels are considered elementary, middle, and high school.</w:t>
      </w:r>
      <w:r w:rsidR="005765CC">
        <w:t xml:space="preserve"> </w:t>
      </w:r>
      <w:r w:rsidRPr="0049419D">
        <w:t xml:space="preserve"> She began a discussion with the following question: “…I think I saw one letter that said they start kindergarten at the age of 2.</w:t>
      </w:r>
      <w:r w:rsidR="005765CC">
        <w:t xml:space="preserve"> </w:t>
      </w:r>
      <w:r w:rsidRPr="0049419D">
        <w:t xml:space="preserve"> If this is so, how do you think American children would handle kindergarten?” </w:t>
      </w:r>
      <w:r w:rsidR="005765CC">
        <w:t xml:space="preserve"> </w:t>
      </w:r>
      <w:r w:rsidRPr="0049419D">
        <w:t xml:space="preserve">Another candidate added “B.’s pen-pal said that she is taking 17 subjects in school! </w:t>
      </w:r>
      <w:r w:rsidR="005765CC">
        <w:t xml:space="preserve"> </w:t>
      </w:r>
      <w:r w:rsidRPr="0049419D">
        <w:t>What are your thoughts on students taking so many subjects?”</w:t>
      </w:r>
      <w:r w:rsidR="005765CC">
        <w:t xml:space="preserve"> </w:t>
      </w:r>
      <w:r w:rsidRPr="0049419D">
        <w:t xml:space="preserve"> Preservice teachers felt that so many subjects must be overwhelming for the students, but after a discussion and some research on Russian schools, they concluded that the number of minutes allotted for each lesson makes it possible to create a reasonable schedule with 17 subjects. </w:t>
      </w:r>
    </w:p>
    <w:p w14:paraId="583845CF" w14:textId="77777777" w:rsidR="0049419D" w:rsidRPr="0049419D" w:rsidRDefault="0049419D" w:rsidP="0049419D">
      <w:pPr>
        <w:spacing w:line="480" w:lineRule="auto"/>
        <w:ind w:firstLine="720"/>
      </w:pPr>
      <w:r w:rsidRPr="0049419D">
        <w:t xml:space="preserve">After learning that Russian students typically begin first grade at 6-7 years of age, stay with the same group of peers until graduation, have same schedules, and are required to take all classes offered at the grade level, preservice teachers hypothesized that if a Russian teenager transferred to an American middle school, he or she would be confused by the schedule and may not feel comfortable being with a different group of peers in each class. </w:t>
      </w:r>
    </w:p>
    <w:p w14:paraId="01DB03F9" w14:textId="77777777" w:rsidR="0049419D" w:rsidRPr="0049419D" w:rsidRDefault="0049419D" w:rsidP="0049419D">
      <w:pPr>
        <w:spacing w:line="480" w:lineRule="auto"/>
        <w:ind w:firstLine="720"/>
      </w:pPr>
      <w:r w:rsidRPr="0049419D">
        <w:t xml:space="preserve">Differences in culture and traditions was another prevalent discussion topic. </w:t>
      </w:r>
    </w:p>
    <w:p w14:paraId="4A341EE7" w14:textId="77777777" w:rsidR="0049419D" w:rsidRPr="0049419D" w:rsidRDefault="0049419D" w:rsidP="0049419D">
      <w:pPr>
        <w:spacing w:line="480" w:lineRule="auto"/>
        <w:ind w:firstLine="720"/>
      </w:pPr>
      <w:r w:rsidRPr="0049419D">
        <w:t>“Another thing that I noticed was the dates of their holidays.</w:t>
      </w:r>
      <w:r w:rsidR="006B5208">
        <w:t xml:space="preserve"> </w:t>
      </w:r>
      <w:r w:rsidRPr="0049419D">
        <w:t xml:space="preserve"> C. explained that February 23rd is "the day of men." </w:t>
      </w:r>
      <w:r w:rsidR="006B5208">
        <w:t xml:space="preserve"> </w:t>
      </w:r>
      <w:r w:rsidRPr="0049419D">
        <w:t>This may be Father's Day.</w:t>
      </w:r>
      <w:r w:rsidR="006B5208">
        <w:t xml:space="preserve"> </w:t>
      </w:r>
      <w:r w:rsidRPr="0049419D">
        <w:t xml:space="preserve"> If so, the times these holidays are celebrated are different for our countries. </w:t>
      </w:r>
      <w:r w:rsidR="006B5208">
        <w:t xml:space="preserve"> </w:t>
      </w:r>
      <w:r w:rsidRPr="0049419D">
        <w:t>Also, March 8th is "the day of women."</w:t>
      </w:r>
      <w:r w:rsidR="006B5208">
        <w:t xml:space="preserve"> </w:t>
      </w:r>
      <w:r w:rsidRPr="0049419D">
        <w:t xml:space="preserve"> If this is the equivalent of Mother's Day, this is also celebrated on a different day. </w:t>
      </w:r>
      <w:r w:rsidR="006B5208">
        <w:t xml:space="preserve"> </w:t>
      </w:r>
      <w:r w:rsidRPr="0049419D">
        <w:t>This could be because of the diversity between the countries.”</w:t>
      </w:r>
    </w:p>
    <w:p w14:paraId="4C926DA5" w14:textId="77777777" w:rsidR="0049419D" w:rsidRPr="0049419D" w:rsidRDefault="0049419D" w:rsidP="0049419D">
      <w:pPr>
        <w:spacing w:line="480" w:lineRule="auto"/>
        <w:ind w:firstLine="720"/>
      </w:pPr>
      <w:r w:rsidRPr="0049419D">
        <w:t xml:space="preserve">This observation opened a discussion of the significance of culture, traditions, and holidays and ways to ensure that culture and traditions of all students are appreciated at school. </w:t>
      </w:r>
    </w:p>
    <w:p w14:paraId="288528BC" w14:textId="77777777" w:rsidR="0049419D" w:rsidRPr="0049419D" w:rsidRDefault="0049419D" w:rsidP="0049419D">
      <w:pPr>
        <w:spacing w:line="480" w:lineRule="auto"/>
        <w:ind w:firstLine="720"/>
      </w:pPr>
      <w:r w:rsidRPr="0049419D">
        <w:rPr>
          <w:b/>
        </w:rPr>
        <w:t>Joy of building relationships</w:t>
      </w:r>
      <w:r w:rsidRPr="0049419D">
        <w:t xml:space="preserve">. Rankin (1992) found a pen-pal project to be an effective method of building relationships between schoolchildren and teacher candidates who became positive adult figures for them. </w:t>
      </w:r>
      <w:r w:rsidR="006B5208">
        <w:t xml:space="preserve"> </w:t>
      </w:r>
      <w:r w:rsidRPr="0049419D">
        <w:t xml:space="preserve">During the Russian pen-pal project, preservice teachers often asked if the responses from their pen-pals arrived and were excited to read and discuss them. They often said: “I just love my pen-pal!”; “I Can’t wait to read D.’s reply!”; “I hope she answers my question about her extracurricular activities, I am interested in how she manages to do so much.”; “I thoroughly enjoyed reading letters from my pen-pal.”; “I feel the same about the letters. They were exiting and enjoyable!” </w:t>
      </w:r>
      <w:r w:rsidR="006B5208">
        <w:t xml:space="preserve"> </w:t>
      </w:r>
      <w:r w:rsidRPr="0049419D">
        <w:t xml:space="preserve">This project became personally significant for the participants, in part, thanks to the joy of communication and building relationships with the pen-pals. </w:t>
      </w:r>
      <w:r w:rsidR="006B5208">
        <w:t xml:space="preserve"> </w:t>
      </w:r>
      <w:r w:rsidRPr="0049419D">
        <w:t xml:space="preserve">Teacher candidates often asked questions like “Will I offend them if I ask about…?” </w:t>
      </w:r>
      <w:r w:rsidR="006B5208">
        <w:t xml:space="preserve"> </w:t>
      </w:r>
      <w:r w:rsidRPr="0049419D">
        <w:t>These instances demonstrated emerging care for their counterparts.</w:t>
      </w:r>
      <w:r w:rsidR="006B5208">
        <w:t xml:space="preserve"> </w:t>
      </w:r>
      <w:r w:rsidRPr="0049419D">
        <w:t xml:space="preserve"> Same attitude was noticed in Russian pen-pals.</w:t>
      </w:r>
      <w:r w:rsidR="006B5208">
        <w:t xml:space="preserve"> </w:t>
      </w:r>
      <w:r w:rsidRPr="0049419D">
        <w:t xml:space="preserve"> One of the candidates shared: “I enjoyed how much excitement the students had just to write to adults in the US.” </w:t>
      </w:r>
      <w:r w:rsidR="006B5208">
        <w:t xml:space="preserve"> </w:t>
      </w:r>
      <w:r w:rsidRPr="0049419D">
        <w:t xml:space="preserve">Another noted: “They all seemed very self-conscious about what we thought of their letters… That really showed me that they cared about us.” </w:t>
      </w:r>
    </w:p>
    <w:p w14:paraId="17788D51" w14:textId="77777777" w:rsidR="0049419D" w:rsidRPr="006B5208" w:rsidRDefault="0049419D" w:rsidP="006B5208">
      <w:pPr>
        <w:spacing w:line="480" w:lineRule="auto"/>
        <w:ind w:firstLine="720"/>
        <w:rPr>
          <w:highlight w:val="green"/>
        </w:rPr>
      </w:pPr>
      <w:r w:rsidRPr="0049419D">
        <w:t xml:space="preserve">Yet another candidate said: “I feel it [the pen-pal project] helped us make a personal connection. </w:t>
      </w:r>
      <w:r w:rsidR="006B5208">
        <w:t xml:space="preserve"> </w:t>
      </w:r>
      <w:r w:rsidRPr="0049419D">
        <w:t xml:space="preserve">We don’t know somebody from Russia, and we have this abstract concept of this “somebody from Russia” and no personal connection here. </w:t>
      </w:r>
      <w:r w:rsidR="006B5208">
        <w:t xml:space="preserve"> </w:t>
      </w:r>
      <w:r w:rsidRPr="0049419D">
        <w:t xml:space="preserve">By having a pen-pal, you get to know them, they tell you about their life and their interests, you are able to connect in a way that otherwise would not be possible.” </w:t>
      </w:r>
    </w:p>
    <w:p w14:paraId="06D207D0" w14:textId="77777777" w:rsidR="0049419D" w:rsidRPr="0049419D" w:rsidRDefault="0049419D" w:rsidP="0049419D">
      <w:pPr>
        <w:spacing w:line="480" w:lineRule="auto"/>
        <w:ind w:firstLine="720"/>
      </w:pPr>
      <w:r w:rsidRPr="0049419D">
        <w:t>The ability to connect and relate to diverse students is necessary to become a culturally-responsive teacher and is one of the major elements of effective classroom management that influences student academic achievements (</w:t>
      </w:r>
      <w:proofErr w:type="spellStart"/>
      <w:r w:rsidRPr="0049419D">
        <w:t>Beaty-O’Ferrall</w:t>
      </w:r>
      <w:proofErr w:type="spellEnd"/>
      <w:r w:rsidRPr="0049419D">
        <w:t xml:space="preserve">, Green, &amp; Hanna, 2010). </w:t>
      </w:r>
      <w:r w:rsidR="006B5208">
        <w:t xml:space="preserve"> </w:t>
      </w:r>
      <w:r w:rsidRPr="0049419D">
        <w:t>Building relationships with people who are like us is easy, but what about someone who is immensely different?</w:t>
      </w:r>
      <w:r w:rsidR="006B5208">
        <w:t xml:space="preserve"> </w:t>
      </w:r>
      <w:r w:rsidRPr="0049419D">
        <w:t xml:space="preserve"> Preservice teachers discovered that this is not as hard as they thought.</w:t>
      </w:r>
      <w:r w:rsidR="006B5208">
        <w:t xml:space="preserve"> </w:t>
      </w:r>
      <w:r w:rsidRPr="0049419D">
        <w:t xml:space="preserve"> One of them shared that when the project was introduced, she worried about not being able to communicate with Russian teenagers because she has never met them and felt they must be very different. These fears evaporated after she read the first letter from her pen-pal. </w:t>
      </w:r>
    </w:p>
    <w:p w14:paraId="4282708F" w14:textId="77777777" w:rsidR="0049419D" w:rsidRPr="0049419D" w:rsidRDefault="0049419D" w:rsidP="0049419D">
      <w:pPr>
        <w:spacing w:line="480" w:lineRule="auto"/>
        <w:ind w:firstLine="720"/>
      </w:pPr>
      <w:r w:rsidRPr="0049419D">
        <w:rPr>
          <w:b/>
        </w:rPr>
        <w:t>Common humanity, kids are kids everywhere.</w:t>
      </w:r>
      <w:r w:rsidRPr="0049419D">
        <w:t xml:space="preserve"> Building relationships requires the ability to see shared humanity in everyone. </w:t>
      </w:r>
      <w:r w:rsidR="006B5208">
        <w:t xml:space="preserve"> </w:t>
      </w:r>
      <w:r w:rsidRPr="0049419D">
        <w:t xml:space="preserve">Several of the candidates reported that as they were getting to know their Russian pen-pals, they began seeing them as individuals with similar values, not as an abstract category “Russians”. </w:t>
      </w:r>
      <w:r w:rsidR="006B5208">
        <w:t xml:space="preserve"> </w:t>
      </w:r>
      <w:r w:rsidRPr="0049419D">
        <w:t xml:space="preserve">Similar results were obtained in a study by Barksdale, Watson, and Park, (2007). </w:t>
      </w:r>
      <w:r w:rsidR="006B5208">
        <w:t xml:space="preserve"> </w:t>
      </w:r>
      <w:r w:rsidRPr="0049419D">
        <w:t xml:space="preserve">The pen-pals in the study were intrinsically motivated to seek similarities between the cultures and develop an appreciation for differences while talking about aspects of their lives and building personal relationships. </w:t>
      </w:r>
      <w:r w:rsidR="006B5208">
        <w:t xml:space="preserve"> </w:t>
      </w:r>
      <w:r w:rsidRPr="0049419D">
        <w:t xml:space="preserve">During my pen-pal project, one of the candidates shared: </w:t>
      </w:r>
    </w:p>
    <w:p w14:paraId="2124E80E" w14:textId="77777777" w:rsidR="0049419D" w:rsidRPr="0049419D" w:rsidRDefault="0049419D" w:rsidP="0049419D">
      <w:pPr>
        <w:spacing w:line="480" w:lineRule="auto"/>
        <w:ind w:firstLine="720"/>
      </w:pPr>
      <w:r w:rsidRPr="0049419D">
        <w:t xml:space="preserve">“The whole experience gives me a different perspective of Russia… It bothers me when I see or hear negative things on the news about Russia since we have seen the sweet faces of our pen-pals. </w:t>
      </w:r>
      <w:r w:rsidR="006B5208">
        <w:t xml:space="preserve"> </w:t>
      </w:r>
      <w:r w:rsidRPr="0049419D">
        <w:t xml:space="preserve">I think about the fact that there are real people just like us in Russia...” </w:t>
      </w:r>
    </w:p>
    <w:p w14:paraId="1FE72D37" w14:textId="77777777" w:rsidR="0049419D" w:rsidRPr="0049419D" w:rsidRDefault="0049419D" w:rsidP="0049419D">
      <w:pPr>
        <w:spacing w:line="480" w:lineRule="auto"/>
        <w:ind w:firstLine="720"/>
        <w:rPr>
          <w:b/>
        </w:rPr>
      </w:pPr>
      <w:r w:rsidRPr="0049419D">
        <w:t xml:space="preserve">Another major theme that dominated class discussions was the fundamental similarity in values (e.g. kindness, honesty) and needs (e.g. love, safety) between American and Russian schoolchildren. </w:t>
      </w:r>
      <w:r w:rsidR="006B5208">
        <w:t xml:space="preserve"> </w:t>
      </w:r>
      <w:r w:rsidRPr="0049419D">
        <w:t xml:space="preserve">One of the teacher candidates stated: “…I feel like now when we look at 13-year-olds, we won’t see them as kids from another country, but as just kids.” </w:t>
      </w:r>
      <w:r w:rsidR="006B5208">
        <w:t xml:space="preserve"> </w:t>
      </w:r>
      <w:r w:rsidRPr="0049419D">
        <w:t xml:space="preserve">Another summed up the results of the discussion very eloquently: “I felt like I was reading a letter from one of my students at school. </w:t>
      </w:r>
      <w:r w:rsidR="006B5208">
        <w:t xml:space="preserve"> </w:t>
      </w:r>
      <w:r w:rsidRPr="0049419D">
        <w:t xml:space="preserve">It made me realize that kids are kids no matter where they are from.” </w:t>
      </w:r>
      <w:r w:rsidR="006B5208">
        <w:t xml:space="preserve"> </w:t>
      </w:r>
      <w:r w:rsidRPr="0049419D">
        <w:t>Then, they generalized this conclusion to all people:</w:t>
      </w:r>
    </w:p>
    <w:p w14:paraId="02BE5F71" w14:textId="77777777" w:rsidR="0049419D" w:rsidRPr="0049419D" w:rsidRDefault="0049419D" w:rsidP="0049419D">
      <w:pPr>
        <w:spacing w:line="480" w:lineRule="auto"/>
        <w:ind w:firstLine="720"/>
      </w:pPr>
      <w:r w:rsidRPr="0049419D">
        <w:t xml:space="preserve">“I agree and I hope that once people see that Russians are human beings just like us, they will see them differently, in a more positive way. </w:t>
      </w:r>
      <w:r w:rsidR="006B5208">
        <w:t xml:space="preserve"> </w:t>
      </w:r>
      <w:r w:rsidRPr="0049419D">
        <w:t xml:space="preserve">I know my assumptions have changed and to see that they are just like us. </w:t>
      </w:r>
      <w:r w:rsidR="006B5208">
        <w:t xml:space="preserve"> </w:t>
      </w:r>
      <w:r w:rsidRPr="0049419D">
        <w:t xml:space="preserve">Our pen-pals are kids just like our own kids. </w:t>
      </w:r>
      <w:r w:rsidR="006B5208">
        <w:t xml:space="preserve"> </w:t>
      </w:r>
      <w:r w:rsidRPr="0049419D">
        <w:t xml:space="preserve">They like some of the same things our kids like, this shows that kids are kids no matter where they come from. </w:t>
      </w:r>
      <w:r w:rsidR="006B5208">
        <w:t xml:space="preserve"> </w:t>
      </w:r>
      <w:r w:rsidRPr="0049419D">
        <w:t>This is the same for all other people, Russian or American it doesn't matter how diverse we are, we are all still people.”</w:t>
      </w:r>
    </w:p>
    <w:p w14:paraId="5C6017F7" w14:textId="77777777" w:rsidR="0049419D" w:rsidRPr="0049419D" w:rsidRDefault="0049419D" w:rsidP="0049419D">
      <w:pPr>
        <w:spacing w:line="480" w:lineRule="auto"/>
        <w:ind w:firstLine="720"/>
      </w:pPr>
      <w:r w:rsidRPr="0049419D">
        <w:t xml:space="preserve">Discovering this common humanity involved examining the participants’ own beliefs and assumptions, which happened naturally during discussions and letter analysis. </w:t>
      </w:r>
    </w:p>
    <w:p w14:paraId="6D84351F" w14:textId="77777777" w:rsidR="0049419D" w:rsidRPr="0049419D" w:rsidRDefault="0049419D" w:rsidP="0049419D">
      <w:pPr>
        <w:spacing w:line="480" w:lineRule="auto"/>
        <w:ind w:firstLine="720"/>
      </w:pPr>
      <w:r w:rsidRPr="0049419D">
        <w:rPr>
          <w:b/>
        </w:rPr>
        <w:t xml:space="preserve">Discovering assumptions through self-reflection. </w:t>
      </w:r>
      <w:r w:rsidRPr="0049419D">
        <w:t xml:space="preserve">This project allowed multiple opportunities for self-reflection and analysis of the candidates’ preexisting stereotypes. </w:t>
      </w:r>
      <w:r w:rsidR="004B15A3">
        <w:t xml:space="preserve"> </w:t>
      </w:r>
      <w:r w:rsidRPr="0049419D">
        <w:t xml:space="preserve">Self-reflection and awareness are vital for developing cultural sensitivity (McAllister &amp; Irvine, 2002). Preservice teachers in my project made the same conclusion after deliberating on questions posed by one of them. </w:t>
      </w:r>
      <w:r w:rsidR="004B15A3">
        <w:t xml:space="preserve"> </w:t>
      </w:r>
      <w:r w:rsidRPr="0049419D">
        <w:t xml:space="preserve">“Did the responses to any of these letters make you picture Russia or Russian schools a little differently than before? </w:t>
      </w:r>
      <w:r w:rsidR="004B15A3">
        <w:t xml:space="preserve"> </w:t>
      </w:r>
      <w:r w:rsidRPr="0049419D">
        <w:t xml:space="preserve">How do you now picture it to be? </w:t>
      </w:r>
      <w:r w:rsidR="004B15A3">
        <w:t xml:space="preserve"> </w:t>
      </w:r>
      <w:r w:rsidRPr="0049419D">
        <w:t xml:space="preserve">Another candidate added: “E.’s pen-pal said that he hoped this type of correspondence would improve Americans' opinions of Russians.” </w:t>
      </w:r>
      <w:r w:rsidR="004B15A3">
        <w:t xml:space="preserve"> </w:t>
      </w:r>
      <w:r w:rsidRPr="0049419D">
        <w:t>Another preservice teacher shared with the class:</w:t>
      </w:r>
    </w:p>
    <w:p w14:paraId="03F6E7AB" w14:textId="77777777" w:rsidR="0049419D" w:rsidRPr="0049419D" w:rsidRDefault="0049419D" w:rsidP="0049419D">
      <w:pPr>
        <w:spacing w:line="480" w:lineRule="auto"/>
        <w:ind w:firstLine="720"/>
      </w:pPr>
      <w:r w:rsidRPr="0049419D">
        <w:t xml:space="preserve">“Also, F. said, "I wish you to find your happiness and have a good rest." </w:t>
      </w:r>
      <w:r w:rsidR="004B15A3">
        <w:t xml:space="preserve"> </w:t>
      </w:r>
      <w:r w:rsidRPr="0049419D">
        <w:t>This was so sweet and eye-opening because I stereotyped Russia in a bad way because of rumors, news, and their ruler, and A. is just as sweet and kind as he can be.</w:t>
      </w:r>
      <w:r w:rsidR="004B15A3">
        <w:t xml:space="preserve"> </w:t>
      </w:r>
      <w:r w:rsidRPr="0049419D">
        <w:t xml:space="preserve"> He seems to want peace and happiness just as I do.” </w:t>
      </w:r>
    </w:p>
    <w:p w14:paraId="322232E9" w14:textId="77777777" w:rsidR="0049419D" w:rsidRPr="00C15B93" w:rsidRDefault="0049419D" w:rsidP="00C15B93">
      <w:pPr>
        <w:spacing w:line="480" w:lineRule="auto"/>
        <w:ind w:firstLine="720"/>
        <w:jc w:val="center"/>
      </w:pPr>
      <w:r w:rsidRPr="0049419D">
        <w:t xml:space="preserve">This discussion concluded with a suggestion that the candidates also have stereotypes and assumptions about other groups of people who they are not familiar with, such as those practicing a different religion. </w:t>
      </w:r>
      <w:r w:rsidR="004B15A3">
        <w:t xml:space="preserve"> </w:t>
      </w:r>
      <w:r w:rsidRPr="0049419D">
        <w:t xml:space="preserve">Preservice teachers expressed a commitment to use self-reflection in their daily teaching practice to minimize the influenced of preconceptions and stereotypes. </w:t>
      </w:r>
      <w:r w:rsidRPr="0049419D">
        <w:rPr>
          <w:b/>
        </w:rPr>
        <w:t>Evaluation of the Project</w:t>
      </w:r>
    </w:p>
    <w:p w14:paraId="6507D96D" w14:textId="77777777" w:rsidR="0049419D" w:rsidRPr="0049419D" w:rsidRDefault="0049419D" w:rsidP="0049419D">
      <w:pPr>
        <w:spacing w:line="480" w:lineRule="auto"/>
        <w:ind w:firstLine="720"/>
      </w:pPr>
      <w:r w:rsidRPr="0049419D">
        <w:rPr>
          <w:bCs/>
          <w:color w:val="000000"/>
        </w:rPr>
        <w:t>According to the candidates’ feedback obtained during class discussions and anonymous project evaluation, they had a joyful and rich learning experience</w:t>
      </w:r>
      <w:r w:rsidRPr="0049419D">
        <w:t>.</w:t>
      </w:r>
      <w:r w:rsidR="004B15A3">
        <w:t xml:space="preserve"> </w:t>
      </w:r>
      <w:r w:rsidRPr="0049419D">
        <w:t xml:space="preserve"> Two preservice teachers stated that this was their most favorite project.</w:t>
      </w:r>
      <w:r w:rsidR="004B15A3">
        <w:t xml:space="preserve"> </w:t>
      </w:r>
      <w:r w:rsidRPr="0049419D">
        <w:t xml:space="preserve"> The majority commented on its high educational value, reported an increase in compassion for ELLs, a deeper understanding of challenges they face as well as of ways to address these challenges. </w:t>
      </w:r>
      <w:r w:rsidR="004B15A3">
        <w:t xml:space="preserve"> </w:t>
      </w:r>
      <w:r w:rsidRPr="0049419D">
        <w:t xml:space="preserve">This feedback indicates that an international pen-pal project is a valuable educational experience for preservice teachers because it provides an opportunity to practice methods of teaching ELLs and aids in developing cultural sensitivity, appreciation for diversity. </w:t>
      </w:r>
      <w:r w:rsidR="004B15A3">
        <w:t xml:space="preserve"> </w:t>
      </w:r>
      <w:r w:rsidRPr="0049419D">
        <w:t xml:space="preserve">For example, at the time of the project, the </w:t>
      </w:r>
      <w:r w:rsidRPr="0049419D">
        <w:rPr>
          <w:bCs/>
          <w:color w:val="000000"/>
        </w:rPr>
        <w:t xml:space="preserve">candidates were completing their field experience at local public schools. </w:t>
      </w:r>
      <w:r w:rsidR="004B15A3">
        <w:rPr>
          <w:bCs/>
          <w:color w:val="000000"/>
        </w:rPr>
        <w:t xml:space="preserve"> </w:t>
      </w:r>
      <w:r w:rsidRPr="0049419D">
        <w:rPr>
          <w:bCs/>
          <w:color w:val="000000"/>
        </w:rPr>
        <w:t xml:space="preserve">They told the schoolchildren about the Russian pen-pal project and showed them pen-pals’ letters. </w:t>
      </w:r>
      <w:r w:rsidR="004B15A3">
        <w:rPr>
          <w:bCs/>
          <w:color w:val="000000"/>
        </w:rPr>
        <w:t xml:space="preserve"> </w:t>
      </w:r>
      <w:r w:rsidRPr="0049419D">
        <w:rPr>
          <w:bCs/>
          <w:color w:val="000000"/>
        </w:rPr>
        <w:t xml:space="preserve">Several read and discussed all letters from the pen-pals with their schoolchildren. </w:t>
      </w:r>
      <w:r w:rsidR="004B15A3">
        <w:rPr>
          <w:bCs/>
          <w:color w:val="000000"/>
        </w:rPr>
        <w:t xml:space="preserve"> </w:t>
      </w:r>
      <w:r w:rsidRPr="0049419D">
        <w:rPr>
          <w:bCs/>
          <w:color w:val="000000"/>
        </w:rPr>
        <w:t>Some incorporated these letters when teaching English grammar and punctuation.</w:t>
      </w:r>
      <w:r w:rsidR="004B15A3">
        <w:rPr>
          <w:bCs/>
          <w:color w:val="000000"/>
        </w:rPr>
        <w:t xml:space="preserve"> </w:t>
      </w:r>
      <w:r w:rsidRPr="0049419D">
        <w:rPr>
          <w:bCs/>
          <w:color w:val="000000"/>
        </w:rPr>
        <w:t xml:space="preserve"> Preservice teachers also expressed a desire to conduct a similar project with their future students. </w:t>
      </w:r>
      <w:r w:rsidR="004B15A3">
        <w:rPr>
          <w:bCs/>
          <w:color w:val="000000"/>
        </w:rPr>
        <w:t xml:space="preserve"> </w:t>
      </w:r>
      <w:r w:rsidRPr="0049419D">
        <w:rPr>
          <w:bCs/>
          <w:color w:val="000000"/>
        </w:rPr>
        <w:t>This indicates that the project affected the participants’ teaching practices.</w:t>
      </w:r>
      <w:r w:rsidR="004B15A3">
        <w:rPr>
          <w:bCs/>
          <w:color w:val="000000"/>
        </w:rPr>
        <w:t xml:space="preserve"> </w:t>
      </w:r>
      <w:r w:rsidRPr="0049419D">
        <w:rPr>
          <w:bCs/>
          <w:color w:val="000000"/>
        </w:rPr>
        <w:t xml:space="preserve"> </w:t>
      </w:r>
      <w:r w:rsidRPr="0049419D">
        <w:t xml:space="preserve">One candidate reported that she felt significantly more comfortable regarding the perspective of working with culturally and linguistically diverse students and felt less likely to jump to conclusions. </w:t>
      </w:r>
      <w:r w:rsidR="004B15A3">
        <w:t xml:space="preserve"> </w:t>
      </w:r>
      <w:r w:rsidRPr="0049419D">
        <w:t xml:space="preserve">Everyone nodded in agreement. </w:t>
      </w:r>
    </w:p>
    <w:p w14:paraId="792D210E" w14:textId="77777777" w:rsidR="0049419D" w:rsidRPr="0049419D" w:rsidRDefault="0049419D" w:rsidP="00516F0E">
      <w:pPr>
        <w:spacing w:line="480" w:lineRule="auto"/>
        <w:jc w:val="center"/>
        <w:rPr>
          <w:b/>
          <w:bCs/>
          <w:iCs/>
          <w:color w:val="000000"/>
        </w:rPr>
      </w:pPr>
      <w:r w:rsidRPr="0049419D">
        <w:rPr>
          <w:b/>
          <w:bCs/>
          <w:iCs/>
          <w:color w:val="000000"/>
        </w:rPr>
        <w:t>Possible Project Extensions</w:t>
      </w:r>
    </w:p>
    <w:p w14:paraId="535A1CF5" w14:textId="77777777" w:rsidR="0049419D" w:rsidRPr="0049419D" w:rsidRDefault="0049419D" w:rsidP="0049419D">
      <w:pPr>
        <w:spacing w:line="480" w:lineRule="auto"/>
        <w:ind w:firstLine="720"/>
        <w:rPr>
          <w:bCs/>
          <w:iCs/>
          <w:color w:val="000000"/>
        </w:rPr>
      </w:pPr>
      <w:r w:rsidRPr="0049419D">
        <w:rPr>
          <w:bCs/>
          <w:iCs/>
          <w:color w:val="000000"/>
        </w:rPr>
        <w:t>An international pen-pal project can compensate for the lack of opportunities to work with ELLs in teacher preparation programs in areas with a small number of ELL students and a low level of cultural diversity.</w:t>
      </w:r>
      <w:r w:rsidR="00134B3E">
        <w:rPr>
          <w:bCs/>
          <w:iCs/>
          <w:color w:val="000000"/>
        </w:rPr>
        <w:t xml:space="preserve"> </w:t>
      </w:r>
      <w:r w:rsidRPr="0049419D">
        <w:rPr>
          <w:bCs/>
          <w:iCs/>
          <w:color w:val="000000"/>
        </w:rPr>
        <w:t xml:space="preserve"> Such</w:t>
      </w:r>
      <w:r w:rsidRPr="0049419D">
        <w:t xml:space="preserve"> project does not have to be limited to writing letters. Preservice teachers in my class recorded a video for their Russian pen-pals where they introduced themselves, showed some local sights, talked about their families, culture, etc. </w:t>
      </w:r>
      <w:r w:rsidR="00134B3E">
        <w:t xml:space="preserve"> </w:t>
      </w:r>
      <w:r w:rsidRPr="0049419D">
        <w:t xml:space="preserve">Their counterparts recorded a response-video. </w:t>
      </w:r>
      <w:r w:rsidR="00134B3E">
        <w:t xml:space="preserve"> </w:t>
      </w:r>
      <w:r w:rsidRPr="0049419D">
        <w:t>Another exciting extension of the project can be an exchange of souvenirs and culture-related artwork via mail.</w:t>
      </w:r>
      <w:r w:rsidR="00134B3E">
        <w:t xml:space="preserve"> </w:t>
      </w:r>
      <w:r w:rsidRPr="0049419D">
        <w:t xml:space="preserve"> Live communication through Skype, if the time difference is not too substantial, could be another beneficial extension. </w:t>
      </w:r>
      <w:r w:rsidR="00134B3E">
        <w:t xml:space="preserve"> </w:t>
      </w:r>
      <w:r w:rsidRPr="0049419D">
        <w:t>Teacher candidates and their pen-pals can collaborate on a science or other project.</w:t>
      </w:r>
      <w:r w:rsidR="00134B3E">
        <w:t xml:space="preserve"> </w:t>
      </w:r>
      <w:r w:rsidRPr="0049419D">
        <w:t xml:space="preserve"> The web site </w:t>
      </w:r>
      <w:proofErr w:type="spellStart"/>
      <w:r w:rsidRPr="0049419D">
        <w:t>PenPal</w:t>
      </w:r>
      <w:proofErr w:type="spellEnd"/>
      <w:r w:rsidRPr="0049419D">
        <w:t xml:space="preserve"> Schools offers teachers and students from different countries to work on projects related to various subject areas and topics.</w:t>
      </w:r>
      <w:r w:rsidRPr="0049419D">
        <w:rPr>
          <w:bCs/>
          <w:iCs/>
          <w:color w:val="000000"/>
        </w:rPr>
        <w:t xml:space="preserve"> </w:t>
      </w:r>
      <w:r w:rsidR="00134B3E">
        <w:rPr>
          <w:bCs/>
          <w:iCs/>
          <w:color w:val="000000"/>
        </w:rPr>
        <w:t xml:space="preserve"> </w:t>
      </w:r>
      <w:r w:rsidRPr="0049419D">
        <w:rPr>
          <w:bCs/>
          <w:iCs/>
          <w:color w:val="000000"/>
        </w:rPr>
        <w:t>Appendix B includes links to web sites that can aid in finding partner teachers or pen-pals from other countries.</w:t>
      </w:r>
    </w:p>
    <w:p w14:paraId="4315BB0B" w14:textId="77777777" w:rsidR="0049419D" w:rsidRPr="0049419D" w:rsidRDefault="0049419D" w:rsidP="00516F0E">
      <w:pPr>
        <w:spacing w:line="480" w:lineRule="auto"/>
        <w:jc w:val="center"/>
      </w:pPr>
      <w:r w:rsidRPr="0049419D">
        <w:rPr>
          <w:b/>
        </w:rPr>
        <w:t>Tips and Suggestions</w:t>
      </w:r>
    </w:p>
    <w:p w14:paraId="33B57F3F" w14:textId="77777777" w:rsidR="0049419D" w:rsidRPr="0049419D" w:rsidRDefault="0049419D" w:rsidP="0049419D">
      <w:pPr>
        <w:spacing w:line="480" w:lineRule="auto"/>
        <w:ind w:firstLine="720"/>
      </w:pPr>
      <w:r w:rsidRPr="0049419D">
        <w:rPr>
          <w:color w:val="000000"/>
        </w:rPr>
        <w:t>Appendix C includes stages of the project with corresponding major goals that can be adjusted to the needs of various courses.</w:t>
      </w:r>
      <w:r w:rsidR="00134B3E">
        <w:rPr>
          <w:color w:val="000000"/>
        </w:rPr>
        <w:t xml:space="preserve"> </w:t>
      </w:r>
      <w:r w:rsidRPr="0049419D">
        <w:rPr>
          <w:color w:val="000000"/>
        </w:rPr>
        <w:t xml:space="preserve"> </w:t>
      </w:r>
      <w:r w:rsidRPr="0049419D">
        <w:t xml:space="preserve">Using email eliminates the need to collect and scan letters, gives the pen-pals greater ownership of the project, and makes keeping track of all letter exchanges easier. </w:t>
      </w:r>
    </w:p>
    <w:p w14:paraId="54DF5D17" w14:textId="77777777" w:rsidR="0049419D" w:rsidRPr="0049419D" w:rsidRDefault="0049419D" w:rsidP="0049419D">
      <w:pPr>
        <w:spacing w:line="480" w:lineRule="auto"/>
      </w:pPr>
      <w:r w:rsidRPr="0049419D">
        <w:tab/>
        <w:t xml:space="preserve">The difference in commitment levels of participants may present a challenge, which can be alleviated by deciding on a course of action for such situations in advance. </w:t>
      </w:r>
      <w:r w:rsidR="00134B3E">
        <w:t xml:space="preserve"> </w:t>
      </w:r>
      <w:r w:rsidRPr="0049419D">
        <w:t>Preparing a schedule of letter exchanges beforehand helps ensure that the differences in school schedules do not interfere with the project.</w:t>
      </w:r>
      <w:r w:rsidR="00134B3E">
        <w:t xml:space="preserve"> </w:t>
      </w:r>
      <w:r w:rsidRPr="0049419D">
        <w:t xml:space="preserve"> Prewriting, postwriting, and discussions at all stages of the project are vital to timely address misunderstandings, promote collaborative learning and investigation of different perspectives on the issues of diversity. </w:t>
      </w:r>
      <w:r w:rsidR="00134B3E">
        <w:t xml:space="preserve"> </w:t>
      </w:r>
      <w:r w:rsidRPr="0049419D">
        <w:t xml:space="preserve">Candidates can generate a list of possible conversation topics and questions for future pen-pals during the introduction of the project to ease the challenge of writing to a stranger. </w:t>
      </w:r>
    </w:p>
    <w:p w14:paraId="180326F5" w14:textId="77777777" w:rsidR="0049419D" w:rsidRPr="0049419D" w:rsidRDefault="0049419D" w:rsidP="0049419D">
      <w:pPr>
        <w:spacing w:line="480" w:lineRule="auto"/>
        <w:jc w:val="center"/>
        <w:rPr>
          <w:b/>
          <w:bCs/>
          <w:color w:val="000000"/>
        </w:rPr>
      </w:pPr>
      <w:r w:rsidRPr="0049419D">
        <w:rPr>
          <w:b/>
          <w:bCs/>
          <w:color w:val="000000"/>
        </w:rPr>
        <w:t>Conclusion</w:t>
      </w:r>
    </w:p>
    <w:p w14:paraId="4BFA322F" w14:textId="77777777" w:rsidR="0049419D" w:rsidRPr="0049419D" w:rsidRDefault="0049419D" w:rsidP="0049419D">
      <w:pPr>
        <w:spacing w:line="480" w:lineRule="auto"/>
        <w:ind w:firstLine="720"/>
        <w:rPr>
          <w:bCs/>
          <w:color w:val="000000"/>
        </w:rPr>
      </w:pPr>
      <w:r w:rsidRPr="0049419D">
        <w:rPr>
          <w:bCs/>
          <w:iCs/>
          <w:color w:val="000000"/>
        </w:rPr>
        <w:t xml:space="preserve">Preservice teachers found this project beneficial and highly engaging. </w:t>
      </w:r>
      <w:r w:rsidR="00134B3E">
        <w:rPr>
          <w:bCs/>
          <w:iCs/>
          <w:color w:val="000000"/>
        </w:rPr>
        <w:t xml:space="preserve"> </w:t>
      </w:r>
      <w:r w:rsidRPr="0049419D">
        <w:rPr>
          <w:bCs/>
          <w:iCs/>
          <w:color w:val="000000"/>
        </w:rPr>
        <w:t xml:space="preserve">The authentic context provided a strong motivation to learn about Russia and Russian culture. </w:t>
      </w:r>
      <w:r w:rsidR="00134B3E">
        <w:rPr>
          <w:bCs/>
          <w:iCs/>
          <w:color w:val="000000"/>
        </w:rPr>
        <w:t xml:space="preserve"> </w:t>
      </w:r>
      <w:r w:rsidRPr="0049419D">
        <w:rPr>
          <w:bCs/>
          <w:iCs/>
          <w:color w:val="000000"/>
        </w:rPr>
        <w:t xml:space="preserve">Candidates built relationships with the ELL pen-pals, which helped them feel more comfortable about working with ELLs in the future. </w:t>
      </w:r>
      <w:r w:rsidR="00134B3E">
        <w:rPr>
          <w:bCs/>
          <w:iCs/>
          <w:color w:val="000000"/>
        </w:rPr>
        <w:t xml:space="preserve"> </w:t>
      </w:r>
      <w:r w:rsidRPr="0049419D">
        <w:rPr>
          <w:bCs/>
          <w:iCs/>
          <w:color w:val="000000"/>
        </w:rPr>
        <w:t xml:space="preserve">This project created a safe environment to use inquiry to address the needs of ELLs, explore personal beliefs and assumptions regarding diversity. </w:t>
      </w:r>
      <w:r w:rsidR="00134B3E">
        <w:rPr>
          <w:bCs/>
          <w:iCs/>
          <w:color w:val="000000"/>
        </w:rPr>
        <w:t xml:space="preserve"> </w:t>
      </w:r>
      <w:r w:rsidRPr="0049419D">
        <w:rPr>
          <w:bCs/>
          <w:iCs/>
          <w:color w:val="000000"/>
        </w:rPr>
        <w:t xml:space="preserve">Preservice teachers discovered common humanity between all people and the impacts of various aspects of diversity on teaching and learning. </w:t>
      </w:r>
      <w:r w:rsidR="00134B3E">
        <w:rPr>
          <w:bCs/>
          <w:iCs/>
          <w:color w:val="000000"/>
        </w:rPr>
        <w:t xml:space="preserve"> </w:t>
      </w:r>
      <w:r w:rsidRPr="0049419D">
        <w:rPr>
          <w:bCs/>
          <w:iCs/>
          <w:color w:val="000000"/>
        </w:rPr>
        <w:t>A similar project can become a valuable part of field experience for preservice teachers.</w:t>
      </w:r>
      <w:r w:rsidR="00134B3E">
        <w:rPr>
          <w:bCs/>
          <w:iCs/>
          <w:color w:val="000000"/>
        </w:rPr>
        <w:t xml:space="preserve"> </w:t>
      </w:r>
      <w:r w:rsidRPr="0049419D">
        <w:rPr>
          <w:bCs/>
          <w:iCs/>
          <w:color w:val="000000"/>
        </w:rPr>
        <w:t xml:space="preserve"> </w:t>
      </w:r>
      <w:r w:rsidRPr="0049419D">
        <w:rPr>
          <w:bCs/>
          <w:color w:val="000000"/>
        </w:rPr>
        <w:t xml:space="preserve">Teacher candidates in this project expanded their understanding of linguistic and cultural diversity, discovered preexisting assumptions and misconceptions and recognized the importance of inquiry and self-reflection for teachers. </w:t>
      </w:r>
      <w:r w:rsidR="00134B3E">
        <w:rPr>
          <w:bCs/>
          <w:color w:val="000000"/>
        </w:rPr>
        <w:t xml:space="preserve"> </w:t>
      </w:r>
      <w:r w:rsidRPr="0049419D">
        <w:rPr>
          <w:bCs/>
          <w:color w:val="000000"/>
        </w:rPr>
        <w:t>The candidates’ motivation to differentiate instruction to meet the needs of the ELLs also increased.</w:t>
      </w:r>
    </w:p>
    <w:p w14:paraId="58642338" w14:textId="77777777" w:rsidR="0049419D" w:rsidRPr="0049419D" w:rsidRDefault="0049419D" w:rsidP="0049419D">
      <w:pPr>
        <w:rPr>
          <w:b/>
        </w:rPr>
      </w:pPr>
      <w:r w:rsidRPr="0049419D">
        <w:rPr>
          <w:b/>
        </w:rPr>
        <w:br w:type="page"/>
      </w:r>
    </w:p>
    <w:p w14:paraId="14A7F5A3" w14:textId="77777777" w:rsidR="0049419D" w:rsidRPr="0049419D" w:rsidRDefault="0049419D" w:rsidP="0049419D">
      <w:pPr>
        <w:spacing w:line="480" w:lineRule="auto"/>
        <w:ind w:left="720" w:hanging="720"/>
        <w:jc w:val="center"/>
      </w:pPr>
      <w:r w:rsidRPr="0049419D">
        <w:rPr>
          <w:b/>
        </w:rPr>
        <w:t>References</w:t>
      </w:r>
    </w:p>
    <w:p w14:paraId="0A871CF9" w14:textId="77777777" w:rsidR="0049419D" w:rsidRDefault="0049419D" w:rsidP="00516F0E">
      <w:pPr>
        <w:ind w:left="720" w:hanging="720"/>
      </w:pPr>
      <w:r w:rsidRPr="0049419D">
        <w:t xml:space="preserve">Allport, G. W. (1954). </w:t>
      </w:r>
      <w:r w:rsidRPr="0049419D">
        <w:rPr>
          <w:i/>
        </w:rPr>
        <w:t>The nature of prejudice</w:t>
      </w:r>
      <w:r w:rsidRPr="0049419D">
        <w:t xml:space="preserve">. Cambridge, MA: Perseus Books. </w:t>
      </w:r>
    </w:p>
    <w:p w14:paraId="7C6F3D1E" w14:textId="77777777" w:rsidR="00516F0E" w:rsidRPr="0049419D" w:rsidRDefault="00516F0E" w:rsidP="00516F0E">
      <w:pPr>
        <w:ind w:left="720" w:hanging="720"/>
      </w:pPr>
    </w:p>
    <w:p w14:paraId="52889EBC" w14:textId="77777777" w:rsidR="0049419D" w:rsidRDefault="0049419D" w:rsidP="00516F0E">
      <w:pPr>
        <w:ind w:left="720" w:hanging="720"/>
      </w:pPr>
      <w:proofErr w:type="spellStart"/>
      <w:r w:rsidRPr="0049419D">
        <w:t>Auslander</w:t>
      </w:r>
      <w:proofErr w:type="spellEnd"/>
      <w:r w:rsidRPr="0049419D">
        <w:t xml:space="preserve">, L. (2018). Building culturally and linguistically responsive classrooms: A case study in teacher and counselor collaboration. </w:t>
      </w:r>
      <w:r w:rsidRPr="0049419D">
        <w:rPr>
          <w:i/>
        </w:rPr>
        <w:t>Journal of Ethnographic &amp; Qualitative Research, 12,</w:t>
      </w:r>
      <w:r w:rsidRPr="0049419D">
        <w:t xml:space="preserve"> 207-218.</w:t>
      </w:r>
    </w:p>
    <w:p w14:paraId="5E3E6F6E" w14:textId="77777777" w:rsidR="00516F0E" w:rsidRPr="0049419D" w:rsidRDefault="00516F0E" w:rsidP="00516F0E">
      <w:pPr>
        <w:ind w:left="720" w:hanging="720"/>
      </w:pPr>
    </w:p>
    <w:p w14:paraId="1C45C6B3" w14:textId="77777777" w:rsidR="0049419D" w:rsidRDefault="0049419D" w:rsidP="00516F0E">
      <w:pPr>
        <w:ind w:left="720" w:hanging="720"/>
      </w:pPr>
      <w:r w:rsidRPr="0049419D">
        <w:t xml:space="preserve">Balistreri, S. F., Di Giacomo, T. F., </w:t>
      </w:r>
      <w:proofErr w:type="spellStart"/>
      <w:r w:rsidRPr="0049419D">
        <w:t>Ivanley</w:t>
      </w:r>
      <w:proofErr w:type="spellEnd"/>
      <w:r w:rsidRPr="0049419D">
        <w:t xml:space="preserve">, N., &amp; </w:t>
      </w:r>
      <w:proofErr w:type="spellStart"/>
      <w:r w:rsidRPr="0049419D">
        <w:t>Ptak</w:t>
      </w:r>
      <w:proofErr w:type="spellEnd"/>
      <w:r w:rsidRPr="0049419D">
        <w:t xml:space="preserve">, T. (2012). Global education: Connections, concepts, and careers. </w:t>
      </w:r>
      <w:r w:rsidRPr="0049419D">
        <w:rPr>
          <w:i/>
        </w:rPr>
        <w:t>Research in Review, 4</w:t>
      </w:r>
      <w:r w:rsidRPr="0049419D">
        <w:t>, 3-33.</w:t>
      </w:r>
    </w:p>
    <w:p w14:paraId="3BE47E8B" w14:textId="77777777" w:rsidR="00516F0E" w:rsidRPr="0049419D" w:rsidRDefault="00516F0E" w:rsidP="00516F0E">
      <w:pPr>
        <w:ind w:left="720" w:hanging="720"/>
      </w:pPr>
    </w:p>
    <w:p w14:paraId="47D77935" w14:textId="77777777" w:rsidR="0049419D" w:rsidRDefault="0049419D" w:rsidP="00516F0E">
      <w:pPr>
        <w:ind w:left="720" w:hanging="720"/>
      </w:pPr>
      <w:r w:rsidRPr="0049419D">
        <w:t xml:space="preserve">Barksdale, M. A., Watson, C., &amp; Park, E. S. (2007). Pen pal letter exchanges: Taking first steps toward developing cultural understandings. </w:t>
      </w:r>
      <w:r w:rsidRPr="0049419D">
        <w:rPr>
          <w:i/>
        </w:rPr>
        <w:t>The Reading Teacher, 61</w:t>
      </w:r>
      <w:r w:rsidRPr="0049419D">
        <w:t>(1), 58-68.</w:t>
      </w:r>
    </w:p>
    <w:p w14:paraId="3051B082" w14:textId="77777777" w:rsidR="00516F0E" w:rsidRPr="0049419D" w:rsidRDefault="00516F0E" w:rsidP="00516F0E">
      <w:pPr>
        <w:ind w:left="720" w:hanging="720"/>
      </w:pPr>
    </w:p>
    <w:p w14:paraId="48ED454A" w14:textId="77777777" w:rsidR="0049419D" w:rsidRDefault="0049419D" w:rsidP="00516F0E">
      <w:pPr>
        <w:ind w:left="720" w:hanging="720"/>
      </w:pPr>
      <w:proofErr w:type="spellStart"/>
      <w:r w:rsidRPr="0049419D">
        <w:t>Beaty-O’Ferrall</w:t>
      </w:r>
      <w:proofErr w:type="spellEnd"/>
      <w:r w:rsidRPr="0049419D">
        <w:t xml:space="preserve">, M. E., Green, A., &amp; Hanna, F. (2010). Classroom management strategies for difficult students: Promoting change through relationships. </w:t>
      </w:r>
      <w:r w:rsidRPr="0049419D">
        <w:rPr>
          <w:i/>
        </w:rPr>
        <w:t>Middle School Journal, 41</w:t>
      </w:r>
      <w:r w:rsidRPr="0049419D">
        <w:t>(4), 4-11.</w:t>
      </w:r>
    </w:p>
    <w:p w14:paraId="51880E75" w14:textId="77777777" w:rsidR="00516F0E" w:rsidRPr="0049419D" w:rsidRDefault="00516F0E" w:rsidP="00516F0E">
      <w:pPr>
        <w:ind w:left="720" w:hanging="720"/>
      </w:pPr>
    </w:p>
    <w:p w14:paraId="6B9F91E4" w14:textId="77777777" w:rsidR="00516F0E" w:rsidRDefault="0049419D" w:rsidP="00516F0E">
      <w:pPr>
        <w:ind w:left="720" w:hanging="720"/>
      </w:pPr>
      <w:r w:rsidRPr="0049419D">
        <w:t xml:space="preserve">Galindo, E., &amp; Newton, J., (Eds.). (2017). Proceedings from </w:t>
      </w:r>
      <w:r w:rsidRPr="0049419D">
        <w:rPr>
          <w:i/>
        </w:rPr>
        <w:t>The 39th annual meeting of the North American Chapter of the International Group for the Psychology of Mathematics Education.</w:t>
      </w:r>
      <w:r w:rsidRPr="0049419D">
        <w:t xml:space="preserve"> Indianapolis, IN: Hoosier Association of Mathematics Teacher Educators.</w:t>
      </w:r>
    </w:p>
    <w:p w14:paraId="63ACCD8A" w14:textId="77777777" w:rsidR="0049419D" w:rsidRPr="0049419D" w:rsidRDefault="0049419D" w:rsidP="00516F0E">
      <w:pPr>
        <w:ind w:left="720" w:hanging="720"/>
      </w:pPr>
      <w:r w:rsidRPr="0049419D">
        <w:t xml:space="preserve"> </w:t>
      </w:r>
    </w:p>
    <w:p w14:paraId="77560EC1" w14:textId="77777777" w:rsidR="0049419D" w:rsidRDefault="0049419D" w:rsidP="00516F0E">
      <w:pPr>
        <w:ind w:left="720" w:hanging="720"/>
      </w:pPr>
      <w:proofErr w:type="spellStart"/>
      <w:r w:rsidRPr="0049419D">
        <w:t>Caprano</w:t>
      </w:r>
      <w:proofErr w:type="spellEnd"/>
      <w:r w:rsidRPr="0049419D">
        <w:t xml:space="preserve">, M. M., </w:t>
      </w:r>
      <w:proofErr w:type="spellStart"/>
      <w:r w:rsidRPr="0049419D">
        <w:t>Caprano</w:t>
      </w:r>
      <w:proofErr w:type="spellEnd"/>
      <w:r w:rsidRPr="0049419D">
        <w:t xml:space="preserve">, R. M., &amp; </w:t>
      </w:r>
      <w:proofErr w:type="spellStart"/>
      <w:r w:rsidRPr="0049419D">
        <w:t>Helfeldt</w:t>
      </w:r>
      <w:proofErr w:type="spellEnd"/>
      <w:r w:rsidRPr="0049419D">
        <w:t xml:space="preserve">, J. (2010). Do differing types of field experiences make a difference in teacher candidates’ perceived level of competence? </w:t>
      </w:r>
      <w:r w:rsidRPr="0049419D">
        <w:rPr>
          <w:i/>
        </w:rPr>
        <w:t>Teacher Education Quarterly, 37</w:t>
      </w:r>
      <w:r w:rsidRPr="0049419D">
        <w:t>(1), 131-154.</w:t>
      </w:r>
    </w:p>
    <w:p w14:paraId="3B810A55" w14:textId="77777777" w:rsidR="00516F0E" w:rsidRPr="0049419D" w:rsidRDefault="00516F0E" w:rsidP="00516F0E">
      <w:pPr>
        <w:ind w:left="720" w:hanging="720"/>
      </w:pPr>
    </w:p>
    <w:p w14:paraId="60764168" w14:textId="77777777" w:rsidR="0049419D" w:rsidRDefault="0049419D" w:rsidP="00516F0E">
      <w:pPr>
        <w:ind w:left="720" w:hanging="720"/>
      </w:pPr>
      <w:r w:rsidRPr="0049419D">
        <w:t xml:space="preserve">Charron, N. (2007). I Learned That There's a State Called Victoria and He Has Six Blue-Tongued Lizards! </w:t>
      </w:r>
      <w:r w:rsidRPr="0049419D">
        <w:rPr>
          <w:i/>
        </w:rPr>
        <w:t>The Reading Teacher, 60</w:t>
      </w:r>
      <w:r w:rsidRPr="0049419D">
        <w:t>(8), 762-769.</w:t>
      </w:r>
    </w:p>
    <w:p w14:paraId="33B82D84" w14:textId="77777777" w:rsidR="00516F0E" w:rsidRPr="0049419D" w:rsidRDefault="00516F0E" w:rsidP="00516F0E">
      <w:pPr>
        <w:ind w:left="720" w:hanging="720"/>
      </w:pPr>
    </w:p>
    <w:p w14:paraId="3BB6E8A9" w14:textId="77777777" w:rsidR="0049419D" w:rsidRDefault="0049419D" w:rsidP="00516F0E">
      <w:pPr>
        <w:ind w:left="720" w:hanging="720"/>
      </w:pPr>
      <w:r w:rsidRPr="0049419D">
        <w:t xml:space="preserve">Hare, S. C. (1999). Using email to promote cross-cultural understanding of families. </w:t>
      </w:r>
      <w:r w:rsidRPr="0049419D">
        <w:rPr>
          <w:i/>
        </w:rPr>
        <w:t>Teaching Sociology, 27</w:t>
      </w:r>
      <w:r w:rsidRPr="0049419D">
        <w:t>, 67-73.</w:t>
      </w:r>
    </w:p>
    <w:p w14:paraId="73086EB6" w14:textId="77777777" w:rsidR="00516F0E" w:rsidRPr="0049419D" w:rsidRDefault="00516F0E" w:rsidP="00516F0E">
      <w:pPr>
        <w:ind w:left="720" w:hanging="720"/>
      </w:pPr>
    </w:p>
    <w:p w14:paraId="258C3BB9" w14:textId="77777777" w:rsidR="0049419D" w:rsidRPr="0049419D" w:rsidRDefault="0049419D" w:rsidP="00516F0E">
      <w:pPr>
        <w:ind w:left="720" w:hanging="720"/>
      </w:pPr>
      <w:r w:rsidRPr="0049419D">
        <w:t xml:space="preserve">Jones, J. L., </w:t>
      </w:r>
      <w:proofErr w:type="spellStart"/>
      <w:r w:rsidRPr="0049419D">
        <w:t>Flohr</w:t>
      </w:r>
      <w:proofErr w:type="spellEnd"/>
      <w:r w:rsidRPr="0049419D">
        <w:t>, B. R., Martin, M. S. (2015). Theories holding promise for supporting the</w:t>
      </w:r>
    </w:p>
    <w:p w14:paraId="0FDBE893" w14:textId="77777777" w:rsidR="0049419D" w:rsidRDefault="0049419D" w:rsidP="00516F0E">
      <w:pPr>
        <w:ind w:left="720"/>
      </w:pPr>
      <w:r w:rsidRPr="0049419D">
        <w:t xml:space="preserve">Constructivist behaviors of inquiry. </w:t>
      </w:r>
      <w:r w:rsidRPr="0049419D">
        <w:rPr>
          <w:i/>
        </w:rPr>
        <w:t>School Libraries Worldwide, 21</w:t>
      </w:r>
      <w:r w:rsidRPr="0049419D">
        <w:t>(2), 115-126.</w:t>
      </w:r>
    </w:p>
    <w:p w14:paraId="02760402" w14:textId="77777777" w:rsidR="00516F0E" w:rsidRPr="0049419D" w:rsidRDefault="00516F0E" w:rsidP="00516F0E">
      <w:pPr>
        <w:ind w:left="720"/>
      </w:pPr>
    </w:p>
    <w:p w14:paraId="04846179" w14:textId="77777777" w:rsidR="0049419D" w:rsidRDefault="0049419D" w:rsidP="00516F0E">
      <w:pPr>
        <w:ind w:left="720" w:hanging="720"/>
      </w:pPr>
      <w:proofErr w:type="spellStart"/>
      <w:r w:rsidRPr="0049419D">
        <w:t>Kayapinar</w:t>
      </w:r>
      <w:proofErr w:type="spellEnd"/>
      <w:r w:rsidRPr="0049419D">
        <w:t xml:space="preserve">, U. (2016). A Study on Reflection in in-service teacher development: Introducing reflective practitioner development model. </w:t>
      </w:r>
      <w:r w:rsidRPr="0049419D">
        <w:rPr>
          <w:i/>
        </w:rPr>
        <w:t>Educational Sciences: Theory &amp; Practice, 16</w:t>
      </w:r>
      <w:r w:rsidRPr="0049419D">
        <w:t xml:space="preserve">(5), 1671-1691. </w:t>
      </w:r>
    </w:p>
    <w:p w14:paraId="659C20E5" w14:textId="77777777" w:rsidR="00516F0E" w:rsidRPr="0049419D" w:rsidRDefault="00516F0E" w:rsidP="00516F0E">
      <w:pPr>
        <w:ind w:left="720" w:hanging="720"/>
      </w:pPr>
    </w:p>
    <w:p w14:paraId="31A6DC08" w14:textId="77777777" w:rsidR="0049419D" w:rsidRDefault="0049419D" w:rsidP="00516F0E">
      <w:pPr>
        <w:ind w:left="720" w:hanging="720"/>
        <w:rPr>
          <w:color w:val="2F2A20"/>
          <w:shd w:val="clear" w:color="auto" w:fill="FFFFFF"/>
        </w:rPr>
      </w:pPr>
      <w:r w:rsidRPr="0049419D">
        <w:rPr>
          <w:color w:val="2F2A20"/>
          <w:shd w:val="clear" w:color="auto" w:fill="FFFFFF"/>
        </w:rPr>
        <w:t xml:space="preserve">Ladson-Billings, G. (1994). </w:t>
      </w:r>
      <w:r w:rsidRPr="0049419D">
        <w:rPr>
          <w:i/>
          <w:color w:val="2F2A20"/>
          <w:shd w:val="clear" w:color="auto" w:fill="FFFFFF"/>
        </w:rPr>
        <w:t xml:space="preserve">The </w:t>
      </w:r>
      <w:proofErr w:type="spellStart"/>
      <w:r w:rsidRPr="0049419D">
        <w:rPr>
          <w:i/>
          <w:color w:val="2F2A20"/>
          <w:shd w:val="clear" w:color="auto" w:fill="FFFFFF"/>
        </w:rPr>
        <w:t>dreamkeepers</w:t>
      </w:r>
      <w:proofErr w:type="spellEnd"/>
      <w:r w:rsidRPr="0049419D">
        <w:rPr>
          <w:i/>
          <w:color w:val="2F2A20"/>
          <w:shd w:val="clear" w:color="auto" w:fill="FFFFFF"/>
        </w:rPr>
        <w:t>.</w:t>
      </w:r>
      <w:r w:rsidRPr="0049419D">
        <w:rPr>
          <w:color w:val="2F2A20"/>
          <w:shd w:val="clear" w:color="auto" w:fill="FFFFFF"/>
        </w:rPr>
        <w:t xml:space="preserve"> San Francisco, SF: Jossey-Bass Publishing Co.</w:t>
      </w:r>
    </w:p>
    <w:p w14:paraId="6953EA35" w14:textId="77777777" w:rsidR="00516F0E" w:rsidRPr="0049419D" w:rsidRDefault="00516F0E" w:rsidP="00516F0E">
      <w:pPr>
        <w:ind w:left="720" w:hanging="720"/>
        <w:rPr>
          <w:color w:val="2F2A20"/>
          <w:shd w:val="clear" w:color="auto" w:fill="FFFFFF"/>
        </w:rPr>
      </w:pPr>
    </w:p>
    <w:p w14:paraId="534CE226" w14:textId="77777777" w:rsidR="0049419D" w:rsidRDefault="0049419D" w:rsidP="00516F0E">
      <w:pPr>
        <w:ind w:left="720" w:hanging="720"/>
        <w:rPr>
          <w:color w:val="000000"/>
        </w:rPr>
      </w:pPr>
      <w:r w:rsidRPr="0049419D">
        <w:rPr>
          <w:color w:val="000000"/>
        </w:rPr>
        <w:t>Language Barrier. (n. d.). In</w:t>
      </w:r>
      <w:r w:rsidRPr="0049419D">
        <w:rPr>
          <w:i/>
          <w:color w:val="000000"/>
        </w:rPr>
        <w:t xml:space="preserve"> Merriam-Webster online</w:t>
      </w:r>
      <w:r w:rsidRPr="0049419D">
        <w:rPr>
          <w:color w:val="000000"/>
        </w:rPr>
        <w:t xml:space="preserve">. Retrieved from </w:t>
      </w:r>
      <w:hyperlink r:id="rId11" w:history="1">
        <w:r w:rsidR="00516F0E" w:rsidRPr="009359DE">
          <w:rPr>
            <w:rStyle w:val="Hyperlink"/>
          </w:rPr>
          <w:t>https://www.merriam-webster.com/dictionary/language%20barrier</w:t>
        </w:r>
      </w:hyperlink>
    </w:p>
    <w:p w14:paraId="478C9F0D" w14:textId="77777777" w:rsidR="00516F0E" w:rsidRPr="0049419D" w:rsidRDefault="00516F0E" w:rsidP="00516F0E">
      <w:pPr>
        <w:ind w:left="720" w:hanging="720"/>
        <w:rPr>
          <w:color w:val="000000"/>
        </w:rPr>
      </w:pPr>
    </w:p>
    <w:p w14:paraId="78BE87FE" w14:textId="77777777" w:rsidR="0049419D" w:rsidRPr="0049419D" w:rsidRDefault="0049419D" w:rsidP="00516F0E">
      <w:pPr>
        <w:ind w:left="720" w:hanging="720"/>
      </w:pPr>
      <w:r w:rsidRPr="0049419D">
        <w:t xml:space="preserve">McAllister, G., &amp; Irvine, J. J. (2002). The role of empathy in teaching culturally diverse students: A qualitative study of teachers’ beliefs. </w:t>
      </w:r>
      <w:r w:rsidRPr="0049419D">
        <w:rPr>
          <w:i/>
        </w:rPr>
        <w:t>Journal of Teacher Education, 53</w:t>
      </w:r>
      <w:r w:rsidRPr="0049419D">
        <w:t xml:space="preserve">(5), 433–443. </w:t>
      </w:r>
    </w:p>
    <w:p w14:paraId="4074060C" w14:textId="77777777" w:rsidR="0049419D" w:rsidRDefault="0049419D" w:rsidP="00516F0E">
      <w:pPr>
        <w:ind w:left="720" w:hanging="720"/>
      </w:pPr>
      <w:r w:rsidRPr="0049419D">
        <w:t xml:space="preserve">Miller, P. C., &amp; </w:t>
      </w:r>
      <w:proofErr w:type="spellStart"/>
      <w:r w:rsidRPr="0049419D">
        <w:t>Mikulec</w:t>
      </w:r>
      <w:proofErr w:type="spellEnd"/>
      <w:r w:rsidRPr="0049419D">
        <w:t xml:space="preserve">, E. A. (2014). Pre-service teachers confronting issues of diversity through a radical field experience. </w:t>
      </w:r>
      <w:r w:rsidRPr="0049419D">
        <w:rPr>
          <w:i/>
        </w:rPr>
        <w:t>Multicultural Education, 21</w:t>
      </w:r>
      <w:r w:rsidRPr="0049419D">
        <w:t>(2), 18-24.</w:t>
      </w:r>
    </w:p>
    <w:p w14:paraId="3E18CE0E" w14:textId="77777777" w:rsidR="00516F0E" w:rsidRPr="0049419D" w:rsidRDefault="00516F0E" w:rsidP="00516F0E">
      <w:pPr>
        <w:ind w:left="720" w:hanging="720"/>
      </w:pPr>
    </w:p>
    <w:p w14:paraId="58A5C4CD" w14:textId="77777777" w:rsidR="0049419D" w:rsidRDefault="0049419D" w:rsidP="00516F0E">
      <w:pPr>
        <w:ind w:left="720" w:hanging="720"/>
        <w:rPr>
          <w:color w:val="000000"/>
        </w:rPr>
      </w:pPr>
      <w:r w:rsidRPr="0049419D">
        <w:rPr>
          <w:color w:val="000000"/>
        </w:rPr>
        <w:t xml:space="preserve">National Center for Education Statistics (NCES) (2017). </w:t>
      </w:r>
      <w:r w:rsidRPr="0049419D">
        <w:rPr>
          <w:i/>
          <w:color w:val="000000"/>
        </w:rPr>
        <w:t>English Language Learners</w:t>
      </w:r>
      <w:r w:rsidRPr="0049419D">
        <w:rPr>
          <w:color w:val="000000"/>
        </w:rPr>
        <w:t xml:space="preserve">. Retrieved from </w:t>
      </w:r>
      <w:hyperlink r:id="rId12" w:history="1">
        <w:r w:rsidR="00516F0E" w:rsidRPr="009359DE">
          <w:rPr>
            <w:rStyle w:val="Hyperlink"/>
          </w:rPr>
          <w:t>https://nces.ed.gov/fastfacts/display.asp?id=96</w:t>
        </w:r>
      </w:hyperlink>
    </w:p>
    <w:p w14:paraId="6A7BE4E1" w14:textId="77777777" w:rsidR="00516F0E" w:rsidRPr="0049419D" w:rsidRDefault="00516F0E" w:rsidP="00516F0E">
      <w:pPr>
        <w:ind w:left="720" w:hanging="720"/>
        <w:rPr>
          <w:color w:val="000000"/>
        </w:rPr>
      </w:pPr>
    </w:p>
    <w:p w14:paraId="2E0887F9" w14:textId="77777777" w:rsidR="0049419D" w:rsidRDefault="0049419D" w:rsidP="00516F0E">
      <w:pPr>
        <w:ind w:left="720" w:hanging="720"/>
      </w:pPr>
      <w:r w:rsidRPr="0049419D">
        <w:t xml:space="preserve">Peters (1985) </w:t>
      </w:r>
      <w:r w:rsidRPr="0049419D">
        <w:rPr>
          <w:i/>
        </w:rPr>
        <w:t>Developing student sensitivity about interlocking dependency in natural/social global environments: Eco/Social studies in rural schools.</w:t>
      </w:r>
      <w:r w:rsidRPr="0049419D">
        <w:t xml:space="preserve"> Plaistow, NH: Global Horizons, The Center for Applied </w:t>
      </w:r>
      <w:proofErr w:type="spellStart"/>
      <w:r w:rsidRPr="0049419D">
        <w:t>Ecosocial</w:t>
      </w:r>
      <w:proofErr w:type="spellEnd"/>
      <w:r w:rsidRPr="0049419D">
        <w:t xml:space="preserve"> Studies.</w:t>
      </w:r>
    </w:p>
    <w:p w14:paraId="18551514" w14:textId="77777777" w:rsidR="00516F0E" w:rsidRPr="0049419D" w:rsidRDefault="00516F0E" w:rsidP="00516F0E">
      <w:pPr>
        <w:ind w:left="720" w:hanging="720"/>
      </w:pPr>
    </w:p>
    <w:p w14:paraId="13166DE5" w14:textId="77777777" w:rsidR="0049419D" w:rsidRDefault="0049419D" w:rsidP="00516F0E">
      <w:pPr>
        <w:ind w:left="720" w:hanging="720"/>
      </w:pPr>
      <w:r w:rsidRPr="0049419D">
        <w:t xml:space="preserve">Rankin, J. L. (1992). Connecting literacy learners: A pen pal project. </w:t>
      </w:r>
      <w:r w:rsidRPr="0049419D">
        <w:rPr>
          <w:i/>
        </w:rPr>
        <w:t>The Reading Teacher, 46</w:t>
      </w:r>
      <w:r w:rsidRPr="0049419D">
        <w:t>(3), 204-214.</w:t>
      </w:r>
    </w:p>
    <w:p w14:paraId="5E82A48F" w14:textId="77777777" w:rsidR="00516F0E" w:rsidRPr="0049419D" w:rsidRDefault="00516F0E" w:rsidP="00516F0E">
      <w:pPr>
        <w:ind w:left="720" w:hanging="720"/>
      </w:pPr>
    </w:p>
    <w:p w14:paraId="54EFEEE5" w14:textId="77777777" w:rsidR="0049419D" w:rsidRDefault="0049419D" w:rsidP="00516F0E">
      <w:pPr>
        <w:autoSpaceDE w:val="0"/>
        <w:autoSpaceDN w:val="0"/>
        <w:adjustRightInd w:val="0"/>
        <w:ind w:left="720" w:hanging="720"/>
      </w:pPr>
      <w:proofErr w:type="spellStart"/>
      <w:r w:rsidRPr="0049419D">
        <w:t>Stoynoff</w:t>
      </w:r>
      <w:proofErr w:type="spellEnd"/>
      <w:r w:rsidRPr="0049419D">
        <w:t xml:space="preserve">, C. (1999). The TESOL Practicum: An integrated model in the U.S. </w:t>
      </w:r>
      <w:r w:rsidRPr="0049419D">
        <w:rPr>
          <w:i/>
        </w:rPr>
        <w:t>TESOL Quarterly, 33</w:t>
      </w:r>
      <w:r w:rsidRPr="0049419D">
        <w:t>(1), 145-151.</w:t>
      </w:r>
    </w:p>
    <w:p w14:paraId="13ACA514" w14:textId="77777777" w:rsidR="00516F0E" w:rsidRPr="0049419D" w:rsidRDefault="00516F0E" w:rsidP="00516F0E">
      <w:pPr>
        <w:autoSpaceDE w:val="0"/>
        <w:autoSpaceDN w:val="0"/>
        <w:adjustRightInd w:val="0"/>
        <w:ind w:left="720" w:hanging="720"/>
      </w:pPr>
    </w:p>
    <w:p w14:paraId="6145BA98" w14:textId="77777777" w:rsidR="0049419D" w:rsidRDefault="0049419D" w:rsidP="00516F0E">
      <w:pPr>
        <w:ind w:left="720" w:hanging="720"/>
      </w:pPr>
      <w:r w:rsidRPr="0049419D">
        <w:t xml:space="preserve">Singh, D. K. (2017). Role of clinical practice in teacher preparation: Perceptions of elementary teacher candidates. </w:t>
      </w:r>
      <w:r w:rsidRPr="0049419D">
        <w:rPr>
          <w:i/>
        </w:rPr>
        <w:t>Education, 138</w:t>
      </w:r>
      <w:r w:rsidRPr="0049419D">
        <w:t>(2), 179-189.</w:t>
      </w:r>
    </w:p>
    <w:p w14:paraId="4B143A40" w14:textId="77777777" w:rsidR="00516F0E" w:rsidRPr="0049419D" w:rsidRDefault="00516F0E" w:rsidP="00516F0E">
      <w:pPr>
        <w:ind w:left="720" w:hanging="720"/>
      </w:pPr>
    </w:p>
    <w:p w14:paraId="620B8BB4" w14:textId="77777777" w:rsidR="0049419D" w:rsidRDefault="0049419D" w:rsidP="00516F0E">
      <w:pPr>
        <w:ind w:left="720" w:hanging="720"/>
      </w:pPr>
      <w:r w:rsidRPr="0049419D">
        <w:t xml:space="preserve">Terrill, M., &amp; Mark, D. L. H. (2000). Pre-service teachers’ expectations for schools with children of color and second-language learners. </w:t>
      </w:r>
      <w:r w:rsidRPr="0049419D">
        <w:rPr>
          <w:i/>
          <w:iCs/>
        </w:rPr>
        <w:t>Journal of Teacher Education, 51</w:t>
      </w:r>
      <w:r w:rsidRPr="0049419D">
        <w:t xml:space="preserve">(2), 149-155. </w:t>
      </w:r>
    </w:p>
    <w:p w14:paraId="6FFB6C27" w14:textId="77777777" w:rsidR="00516F0E" w:rsidRPr="0049419D" w:rsidRDefault="00516F0E" w:rsidP="00516F0E">
      <w:pPr>
        <w:ind w:left="720" w:hanging="720"/>
      </w:pPr>
    </w:p>
    <w:p w14:paraId="1B71065C" w14:textId="77777777" w:rsidR="0049419D" w:rsidRDefault="0049419D" w:rsidP="00516F0E">
      <w:pPr>
        <w:ind w:left="720" w:hanging="720"/>
        <w:rPr>
          <w:color w:val="000000"/>
        </w:rPr>
      </w:pPr>
      <w:r w:rsidRPr="0049419D">
        <w:t xml:space="preserve">TESOL (2010). </w:t>
      </w:r>
      <w:r w:rsidRPr="0049419D">
        <w:rPr>
          <w:i/>
        </w:rPr>
        <w:t xml:space="preserve">TESOL/CAEP Standards for P-12 Teacher Education Programs. </w:t>
      </w:r>
      <w:r w:rsidRPr="0049419D">
        <w:t xml:space="preserve">Retrieved from </w:t>
      </w:r>
      <w:hyperlink r:id="rId13" w:history="1">
        <w:r w:rsidR="00516F0E" w:rsidRPr="009359DE">
          <w:rPr>
            <w:rStyle w:val="Hyperlink"/>
          </w:rPr>
          <w:t>http://www.tesol.org/advance-the-field/standards/tesol-caep-standards-for-p-12-teacher-education-programs</w:t>
        </w:r>
      </w:hyperlink>
      <w:r w:rsidRPr="0049419D">
        <w:rPr>
          <w:color w:val="000000"/>
        </w:rPr>
        <w:t xml:space="preserve"> </w:t>
      </w:r>
    </w:p>
    <w:p w14:paraId="5A0DCA5E" w14:textId="77777777" w:rsidR="00516F0E" w:rsidRPr="0049419D" w:rsidRDefault="00516F0E" w:rsidP="00516F0E">
      <w:pPr>
        <w:ind w:left="720" w:hanging="720"/>
      </w:pPr>
    </w:p>
    <w:p w14:paraId="5E1954E8" w14:textId="77777777" w:rsidR="0049419D" w:rsidRPr="0049419D" w:rsidRDefault="0049419D" w:rsidP="00516F0E">
      <w:pPr>
        <w:ind w:left="720" w:hanging="720"/>
      </w:pPr>
      <w:proofErr w:type="spellStart"/>
      <w:r w:rsidRPr="0049419D">
        <w:t>Thibehault</w:t>
      </w:r>
      <w:proofErr w:type="spellEnd"/>
      <w:r w:rsidRPr="0049419D">
        <w:t xml:space="preserve">, C. H., Kuhlman, N., &amp; Day, C. (2011). ESL Teacher-Education programs: Measuring up to the TESOL/NCATE yardstick. </w:t>
      </w:r>
      <w:r w:rsidRPr="0049419D">
        <w:rPr>
          <w:i/>
        </w:rPr>
        <w:t xml:space="preserve">The </w:t>
      </w:r>
      <w:proofErr w:type="spellStart"/>
      <w:r w:rsidRPr="0049419D">
        <w:rPr>
          <w:i/>
        </w:rPr>
        <w:t>Catesol</w:t>
      </w:r>
      <w:proofErr w:type="spellEnd"/>
      <w:r w:rsidRPr="0049419D">
        <w:rPr>
          <w:i/>
        </w:rPr>
        <w:t xml:space="preserve"> Journal, 22</w:t>
      </w:r>
      <w:r w:rsidRPr="0049419D">
        <w:t>(1), 48-59.</w:t>
      </w:r>
    </w:p>
    <w:p w14:paraId="0CDB438B" w14:textId="77777777" w:rsidR="0049419D" w:rsidRDefault="0049419D" w:rsidP="0049419D">
      <w:pPr>
        <w:spacing w:line="480" w:lineRule="auto"/>
        <w:ind w:left="720" w:hanging="720"/>
      </w:pPr>
    </w:p>
    <w:p w14:paraId="52BAD741" w14:textId="77777777" w:rsidR="00FC21D9" w:rsidRDefault="00FC21D9" w:rsidP="0049419D">
      <w:pPr>
        <w:spacing w:line="480" w:lineRule="auto"/>
        <w:ind w:left="720" w:hanging="720"/>
      </w:pPr>
    </w:p>
    <w:p w14:paraId="64E0B573" w14:textId="77777777" w:rsidR="00FC21D9" w:rsidRDefault="00FC21D9" w:rsidP="0049419D">
      <w:pPr>
        <w:spacing w:line="480" w:lineRule="auto"/>
        <w:ind w:left="720" w:hanging="720"/>
      </w:pPr>
    </w:p>
    <w:p w14:paraId="1B9DD8A4" w14:textId="77777777" w:rsidR="00FC21D9" w:rsidRDefault="00FC21D9" w:rsidP="0049419D">
      <w:pPr>
        <w:spacing w:line="480" w:lineRule="auto"/>
        <w:ind w:left="720" w:hanging="720"/>
      </w:pPr>
    </w:p>
    <w:p w14:paraId="118CD995" w14:textId="77777777" w:rsidR="00FC21D9" w:rsidRDefault="00FC21D9" w:rsidP="0049419D">
      <w:pPr>
        <w:spacing w:line="480" w:lineRule="auto"/>
        <w:ind w:left="720" w:hanging="720"/>
      </w:pPr>
    </w:p>
    <w:p w14:paraId="6383DFF9" w14:textId="77777777" w:rsidR="00FC21D9" w:rsidRDefault="00FC21D9" w:rsidP="0049419D">
      <w:pPr>
        <w:spacing w:line="480" w:lineRule="auto"/>
        <w:ind w:left="720" w:hanging="720"/>
      </w:pPr>
    </w:p>
    <w:p w14:paraId="55345229" w14:textId="77777777" w:rsidR="00FC21D9" w:rsidRPr="0049419D" w:rsidRDefault="00FC21D9" w:rsidP="0049419D">
      <w:pPr>
        <w:spacing w:line="480" w:lineRule="auto"/>
        <w:ind w:left="720" w:hanging="720"/>
      </w:pPr>
    </w:p>
    <w:p w14:paraId="5340CEA7" w14:textId="77777777" w:rsidR="00FC21D9" w:rsidRPr="0049419D" w:rsidRDefault="00FC21D9" w:rsidP="0049419D"/>
    <w:tbl>
      <w:tblPr>
        <w:tblStyle w:val="TableGrid"/>
        <w:tblW w:w="0" w:type="auto"/>
        <w:tblLook w:val="04A0" w:firstRow="1" w:lastRow="0" w:firstColumn="1" w:lastColumn="0" w:noHBand="0" w:noVBand="1"/>
      </w:tblPr>
      <w:tblGrid>
        <w:gridCol w:w="9350"/>
      </w:tblGrid>
      <w:tr w:rsidR="00FC21D9" w14:paraId="7FE3A1D8" w14:textId="77777777" w:rsidTr="00FC21D9">
        <w:tc>
          <w:tcPr>
            <w:tcW w:w="9350" w:type="dxa"/>
          </w:tcPr>
          <w:p w14:paraId="7844BBC0" w14:textId="77777777" w:rsidR="00FC21D9" w:rsidRDefault="00FC21D9" w:rsidP="0049419D">
            <w:r w:rsidRPr="00FC21D9">
              <w:rPr>
                <w:b/>
              </w:rPr>
              <w:t>Dr. Ksenia Zhbanova</w:t>
            </w:r>
            <w:r>
              <w:t xml:space="preserve"> is currently an Assistant Professor of Elementary Education at Mississippi State University. Her research and teaching interests include diversity, education of the gifted, and arts integration. </w:t>
            </w:r>
          </w:p>
        </w:tc>
      </w:tr>
    </w:tbl>
    <w:p w14:paraId="5AC4C74A" w14:textId="77777777" w:rsidR="0049419D" w:rsidRPr="00516F0E" w:rsidRDefault="0049419D" w:rsidP="0049419D">
      <w:pPr>
        <w:spacing w:line="480" w:lineRule="auto"/>
        <w:jc w:val="center"/>
        <w:rPr>
          <w:b/>
        </w:rPr>
      </w:pPr>
      <w:r w:rsidRPr="00516F0E">
        <w:rPr>
          <w:b/>
        </w:rPr>
        <w:t xml:space="preserve">Appendix A </w:t>
      </w:r>
    </w:p>
    <w:p w14:paraId="4A1E4A68" w14:textId="77777777" w:rsidR="0049419D" w:rsidRPr="0049419D" w:rsidRDefault="0049419D" w:rsidP="0049419D">
      <w:pPr>
        <w:spacing w:line="480" w:lineRule="auto"/>
        <w:contextualSpacing/>
        <w:jc w:val="center"/>
      </w:pPr>
      <w:r w:rsidRPr="0049419D">
        <w:t>Project Guidelines and Candidate-Generated Ideas</w:t>
      </w:r>
    </w:p>
    <w:p w14:paraId="07196089" w14:textId="77777777" w:rsidR="0049419D" w:rsidRPr="0049419D" w:rsidRDefault="0049419D" w:rsidP="00730578">
      <w:pPr>
        <w:numPr>
          <w:ilvl w:val="0"/>
          <w:numId w:val="1"/>
        </w:numPr>
        <w:spacing w:line="480" w:lineRule="auto"/>
        <w:ind w:left="0"/>
        <w:contextualSpacing/>
      </w:pPr>
      <w:r w:rsidRPr="0049419D">
        <w:t>Hand-written in pen (scanned letters written in pencil are hard to read)</w:t>
      </w:r>
    </w:p>
    <w:p w14:paraId="739918B2" w14:textId="77777777" w:rsidR="0049419D" w:rsidRPr="0049419D" w:rsidRDefault="0049419D" w:rsidP="00730578">
      <w:pPr>
        <w:numPr>
          <w:ilvl w:val="0"/>
          <w:numId w:val="1"/>
        </w:numPr>
        <w:spacing w:line="480" w:lineRule="auto"/>
        <w:ind w:left="0"/>
        <w:contextualSpacing/>
      </w:pPr>
      <w:r w:rsidRPr="0049419D">
        <w:t xml:space="preserve">At least 1 page (one-sided) </w:t>
      </w:r>
    </w:p>
    <w:p w14:paraId="535555F4" w14:textId="77777777" w:rsidR="0049419D" w:rsidRPr="0049419D" w:rsidRDefault="0049419D" w:rsidP="00730578">
      <w:pPr>
        <w:numPr>
          <w:ilvl w:val="0"/>
          <w:numId w:val="1"/>
        </w:numPr>
        <w:spacing w:line="480" w:lineRule="auto"/>
        <w:ind w:left="0"/>
        <w:contextualSpacing/>
      </w:pPr>
      <w:r w:rsidRPr="0049419D">
        <w:t>Ideas; what we can talk about in the first letter. Information about us:</w:t>
      </w:r>
    </w:p>
    <w:p w14:paraId="0BCF640F" w14:textId="77777777" w:rsidR="0049419D" w:rsidRPr="0049419D" w:rsidRDefault="0049419D" w:rsidP="0049419D">
      <w:pPr>
        <w:spacing w:line="480" w:lineRule="auto"/>
        <w:contextualSpacing/>
      </w:pPr>
      <w:r w:rsidRPr="0049419D">
        <w:t>-  some information about America and American culture</w:t>
      </w:r>
    </w:p>
    <w:p w14:paraId="2E3E54F0" w14:textId="77777777" w:rsidR="0049419D" w:rsidRPr="0049419D" w:rsidRDefault="0049419D" w:rsidP="0049419D">
      <w:pPr>
        <w:spacing w:line="480" w:lineRule="auto"/>
        <w:contextualSpacing/>
      </w:pPr>
      <w:r w:rsidRPr="0049419D">
        <w:t>-  some information about American schools</w:t>
      </w:r>
    </w:p>
    <w:p w14:paraId="284D4B96" w14:textId="77777777" w:rsidR="0049419D" w:rsidRPr="0049419D" w:rsidRDefault="0049419D" w:rsidP="0049419D">
      <w:pPr>
        <w:spacing w:line="480" w:lineRule="auto"/>
        <w:contextualSpacing/>
      </w:pPr>
      <w:r w:rsidRPr="0049419D">
        <w:t>-  some information about our state</w:t>
      </w:r>
    </w:p>
    <w:p w14:paraId="38598F83" w14:textId="77777777" w:rsidR="0049419D" w:rsidRPr="0049419D" w:rsidRDefault="0049419D" w:rsidP="0049419D">
      <w:pPr>
        <w:spacing w:line="480" w:lineRule="auto"/>
        <w:contextualSpacing/>
      </w:pPr>
      <w:r w:rsidRPr="0049419D">
        <w:t>-  some personal information (e.g. pets, favorite food, favorite subject at school, extracurricular activities, hobbies, etc.)</w:t>
      </w:r>
    </w:p>
    <w:p w14:paraId="5EE35C25" w14:textId="77777777" w:rsidR="0049419D" w:rsidRPr="0049419D" w:rsidRDefault="0049419D" w:rsidP="00730578">
      <w:pPr>
        <w:numPr>
          <w:ilvl w:val="0"/>
          <w:numId w:val="1"/>
        </w:numPr>
        <w:spacing w:line="480" w:lineRule="auto"/>
        <w:ind w:left="0"/>
        <w:contextualSpacing/>
      </w:pPr>
      <w:r w:rsidRPr="0049419D">
        <w:t>At least 4 questions to help the ELLs with generating ideas for their replies</w:t>
      </w:r>
    </w:p>
    <w:p w14:paraId="5352E330" w14:textId="77777777" w:rsidR="0049419D" w:rsidRPr="0049419D" w:rsidRDefault="0049419D" w:rsidP="00730578">
      <w:pPr>
        <w:numPr>
          <w:ilvl w:val="0"/>
          <w:numId w:val="1"/>
        </w:numPr>
        <w:spacing w:line="480" w:lineRule="auto"/>
        <w:ind w:left="0"/>
        <w:contextualSpacing/>
      </w:pPr>
      <w:r w:rsidRPr="0049419D">
        <w:t xml:space="preserve">Ideas: questions we can ask in the first letter: </w:t>
      </w:r>
    </w:p>
    <w:p w14:paraId="2DE289EC" w14:textId="77777777" w:rsidR="0049419D" w:rsidRPr="0049419D" w:rsidRDefault="0049419D" w:rsidP="0049419D">
      <w:pPr>
        <w:spacing w:line="480" w:lineRule="auto"/>
        <w:contextualSpacing/>
      </w:pPr>
      <w:r w:rsidRPr="0049419D">
        <w:t>- a question about qualities they value in teachers</w:t>
      </w:r>
    </w:p>
    <w:p w14:paraId="66D1E246" w14:textId="77777777" w:rsidR="0049419D" w:rsidRPr="0049419D" w:rsidRDefault="0049419D" w:rsidP="0049419D">
      <w:pPr>
        <w:spacing w:line="480" w:lineRule="auto"/>
        <w:contextualSpacing/>
      </w:pPr>
      <w:r w:rsidRPr="0049419D">
        <w:t>- a question about their favorite school subjects/activities</w:t>
      </w:r>
    </w:p>
    <w:p w14:paraId="1CE27278" w14:textId="77777777" w:rsidR="0049419D" w:rsidRPr="0049419D" w:rsidRDefault="0049419D" w:rsidP="0049419D">
      <w:pPr>
        <w:spacing w:line="480" w:lineRule="auto"/>
        <w:contextualSpacing/>
      </w:pPr>
      <w:r w:rsidRPr="0049419D">
        <w:t>- a question about their hobbies and personal interests</w:t>
      </w:r>
    </w:p>
    <w:p w14:paraId="364E33AC" w14:textId="77777777" w:rsidR="0049419D" w:rsidRPr="0049419D" w:rsidRDefault="0049419D" w:rsidP="0049419D">
      <w:pPr>
        <w:spacing w:line="480" w:lineRule="auto"/>
        <w:contextualSpacing/>
      </w:pPr>
      <w:r w:rsidRPr="0049419D">
        <w:t>- a question about their aspiration for the future</w:t>
      </w:r>
    </w:p>
    <w:p w14:paraId="71210B4C" w14:textId="77777777" w:rsidR="0049419D" w:rsidRPr="0049419D" w:rsidRDefault="0049419D" w:rsidP="00730578">
      <w:pPr>
        <w:numPr>
          <w:ilvl w:val="0"/>
          <w:numId w:val="1"/>
        </w:numPr>
        <w:spacing w:line="480" w:lineRule="auto"/>
        <w:ind w:left="0"/>
        <w:contextualSpacing/>
      </w:pPr>
      <w:r w:rsidRPr="0049419D">
        <w:t>DOs</w:t>
      </w:r>
    </w:p>
    <w:p w14:paraId="1BBB5D32" w14:textId="77777777" w:rsidR="0049419D" w:rsidRPr="0049419D" w:rsidRDefault="0049419D" w:rsidP="0049419D">
      <w:pPr>
        <w:spacing w:line="480" w:lineRule="auto"/>
        <w:contextualSpacing/>
      </w:pPr>
      <w:r w:rsidRPr="0049419D">
        <w:t xml:space="preserve">- include photos or drawings to illustrate the letters. </w:t>
      </w:r>
    </w:p>
    <w:p w14:paraId="7DF300EE" w14:textId="77777777" w:rsidR="0049419D" w:rsidRPr="0049419D" w:rsidRDefault="0049419D" w:rsidP="0049419D">
      <w:pPr>
        <w:spacing w:line="480" w:lineRule="auto"/>
        <w:contextualSpacing/>
      </w:pPr>
      <w:r w:rsidRPr="0049419D">
        <w:t>- have fun</w:t>
      </w:r>
    </w:p>
    <w:p w14:paraId="6E77AC62" w14:textId="77777777" w:rsidR="0049419D" w:rsidRPr="0049419D" w:rsidRDefault="0049419D" w:rsidP="00730578">
      <w:pPr>
        <w:numPr>
          <w:ilvl w:val="0"/>
          <w:numId w:val="1"/>
        </w:numPr>
        <w:spacing w:line="480" w:lineRule="auto"/>
        <w:ind w:left="0"/>
        <w:contextualSpacing/>
      </w:pPr>
      <w:r w:rsidRPr="0049419D">
        <w:t xml:space="preserve">DONTs </w:t>
      </w:r>
    </w:p>
    <w:p w14:paraId="001D2A9C" w14:textId="77777777" w:rsidR="0049419D" w:rsidRPr="0049419D" w:rsidRDefault="0049419D" w:rsidP="0049419D">
      <w:pPr>
        <w:spacing w:line="480" w:lineRule="auto"/>
        <w:contextualSpacing/>
      </w:pPr>
      <w:r w:rsidRPr="0049419D">
        <w:t>- Do not use cursive</w:t>
      </w:r>
    </w:p>
    <w:p w14:paraId="79F851A6" w14:textId="77777777" w:rsidR="0049419D" w:rsidRPr="0049419D" w:rsidRDefault="0049419D" w:rsidP="0049419D">
      <w:pPr>
        <w:spacing w:line="480" w:lineRule="auto"/>
        <w:contextualSpacing/>
      </w:pPr>
      <w:r w:rsidRPr="0049419D">
        <w:t xml:space="preserve">- Do not use slang or idioms or explain the meaning </w:t>
      </w:r>
    </w:p>
    <w:p w14:paraId="4661493D" w14:textId="77777777" w:rsidR="0049419D" w:rsidRPr="00516F0E" w:rsidRDefault="0049419D" w:rsidP="0049419D">
      <w:pPr>
        <w:jc w:val="center"/>
        <w:rPr>
          <w:b/>
        </w:rPr>
      </w:pPr>
      <w:r w:rsidRPr="0049419D">
        <w:br w:type="page"/>
      </w:r>
      <w:r w:rsidRPr="00516F0E">
        <w:rPr>
          <w:b/>
        </w:rPr>
        <w:t>Appendix B</w:t>
      </w:r>
    </w:p>
    <w:p w14:paraId="1D437BA9" w14:textId="77777777" w:rsidR="0049419D" w:rsidRPr="0049419D" w:rsidRDefault="0049419D" w:rsidP="0049419D">
      <w:pPr>
        <w:spacing w:line="480" w:lineRule="auto"/>
        <w:jc w:val="center"/>
      </w:pPr>
      <w:r w:rsidRPr="0049419D">
        <w:t>Resources that May Help Locate Pen-Pals</w:t>
      </w:r>
    </w:p>
    <w:tbl>
      <w:tblPr>
        <w:tblStyle w:val="TableGrid6"/>
        <w:tblW w:w="0" w:type="auto"/>
        <w:tblLook w:val="04A0" w:firstRow="1" w:lastRow="0" w:firstColumn="1" w:lastColumn="0" w:noHBand="0" w:noVBand="1"/>
      </w:tblPr>
      <w:tblGrid>
        <w:gridCol w:w="1435"/>
        <w:gridCol w:w="7915"/>
      </w:tblGrid>
      <w:tr w:rsidR="0049419D" w:rsidRPr="0049419D" w14:paraId="5CA016BA" w14:textId="77777777" w:rsidTr="0049419D">
        <w:tc>
          <w:tcPr>
            <w:tcW w:w="1435" w:type="dxa"/>
            <w:tcBorders>
              <w:left w:val="nil"/>
              <w:bottom w:val="single" w:sz="4" w:space="0" w:color="auto"/>
              <w:right w:val="nil"/>
            </w:tcBorders>
          </w:tcPr>
          <w:p w14:paraId="40EBB559" w14:textId="77777777" w:rsidR="0049419D" w:rsidRPr="0049419D" w:rsidRDefault="0049419D" w:rsidP="0049419D">
            <w:pPr>
              <w:jc w:val="center"/>
              <w:rPr>
                <w:sz w:val="20"/>
                <w:szCs w:val="20"/>
              </w:rPr>
            </w:pPr>
            <w:r w:rsidRPr="0049419D">
              <w:rPr>
                <w:sz w:val="20"/>
                <w:szCs w:val="20"/>
              </w:rPr>
              <w:t>Web Site</w:t>
            </w:r>
          </w:p>
        </w:tc>
        <w:tc>
          <w:tcPr>
            <w:tcW w:w="7915" w:type="dxa"/>
            <w:tcBorders>
              <w:left w:val="nil"/>
              <w:bottom w:val="single" w:sz="4" w:space="0" w:color="auto"/>
              <w:right w:val="nil"/>
            </w:tcBorders>
          </w:tcPr>
          <w:p w14:paraId="2D98DE97" w14:textId="77777777" w:rsidR="0049419D" w:rsidRPr="0049419D" w:rsidRDefault="0049419D" w:rsidP="0049419D">
            <w:pPr>
              <w:jc w:val="center"/>
              <w:rPr>
                <w:sz w:val="20"/>
                <w:szCs w:val="20"/>
              </w:rPr>
            </w:pPr>
            <w:r w:rsidRPr="0049419D">
              <w:rPr>
                <w:sz w:val="20"/>
                <w:szCs w:val="20"/>
              </w:rPr>
              <w:t>Link and Description</w:t>
            </w:r>
          </w:p>
        </w:tc>
      </w:tr>
      <w:tr w:rsidR="0049419D" w:rsidRPr="0049419D" w14:paraId="59E6B9F1" w14:textId="77777777" w:rsidTr="0049419D">
        <w:tc>
          <w:tcPr>
            <w:tcW w:w="1435" w:type="dxa"/>
            <w:tcBorders>
              <w:left w:val="nil"/>
              <w:bottom w:val="nil"/>
              <w:right w:val="nil"/>
            </w:tcBorders>
          </w:tcPr>
          <w:p w14:paraId="0494CF8A" w14:textId="77777777" w:rsidR="0049419D" w:rsidRPr="0049419D" w:rsidRDefault="0049419D" w:rsidP="0049419D">
            <w:pPr>
              <w:jc w:val="center"/>
              <w:rPr>
                <w:sz w:val="20"/>
                <w:szCs w:val="20"/>
              </w:rPr>
            </w:pPr>
            <w:r w:rsidRPr="0049419D">
              <w:rPr>
                <w:sz w:val="20"/>
                <w:szCs w:val="20"/>
              </w:rPr>
              <w:t>Students of the World</w:t>
            </w:r>
          </w:p>
        </w:tc>
        <w:tc>
          <w:tcPr>
            <w:tcW w:w="7915" w:type="dxa"/>
            <w:tcBorders>
              <w:left w:val="nil"/>
              <w:bottom w:val="nil"/>
              <w:right w:val="nil"/>
            </w:tcBorders>
          </w:tcPr>
          <w:p w14:paraId="5BEA9F2C" w14:textId="77777777" w:rsidR="0049419D" w:rsidRPr="0049419D" w:rsidRDefault="0049419D" w:rsidP="0049419D">
            <w:pPr>
              <w:rPr>
                <w:sz w:val="20"/>
                <w:szCs w:val="20"/>
                <w:highlight w:val="yellow"/>
              </w:rPr>
            </w:pPr>
            <w:r w:rsidRPr="0049419D">
              <w:rPr>
                <w:sz w:val="20"/>
                <w:szCs w:val="20"/>
              </w:rPr>
              <w:t xml:space="preserve">French non-profit association that can help find pen-pals of similar age from the majority of the countries of the world. </w:t>
            </w:r>
            <w:hyperlink r:id="rId14" w:history="1">
              <w:r w:rsidRPr="0049419D">
                <w:rPr>
                  <w:color w:val="0563C1"/>
                  <w:sz w:val="20"/>
                  <w:szCs w:val="20"/>
                  <w:u w:val="single"/>
                </w:rPr>
                <w:t>http://www.studentsoftheworld.info/menu_infopays.html</w:t>
              </w:r>
            </w:hyperlink>
            <w:r w:rsidRPr="0049419D">
              <w:rPr>
                <w:sz w:val="20"/>
                <w:szCs w:val="20"/>
              </w:rPr>
              <w:t xml:space="preserve"> </w:t>
            </w:r>
          </w:p>
          <w:p w14:paraId="52E9441C" w14:textId="77777777" w:rsidR="0049419D" w:rsidRPr="0049419D" w:rsidRDefault="0049419D" w:rsidP="0049419D">
            <w:pPr>
              <w:rPr>
                <w:sz w:val="20"/>
                <w:szCs w:val="20"/>
              </w:rPr>
            </w:pPr>
          </w:p>
        </w:tc>
      </w:tr>
      <w:tr w:rsidR="0049419D" w:rsidRPr="0049419D" w14:paraId="69ACC05C" w14:textId="77777777" w:rsidTr="0049419D">
        <w:tc>
          <w:tcPr>
            <w:tcW w:w="1435" w:type="dxa"/>
            <w:tcBorders>
              <w:top w:val="nil"/>
              <w:left w:val="nil"/>
              <w:bottom w:val="nil"/>
              <w:right w:val="nil"/>
            </w:tcBorders>
          </w:tcPr>
          <w:p w14:paraId="03782F3E" w14:textId="77777777" w:rsidR="0049419D" w:rsidRPr="0049419D" w:rsidRDefault="0049419D" w:rsidP="0049419D">
            <w:pPr>
              <w:jc w:val="center"/>
              <w:rPr>
                <w:sz w:val="20"/>
                <w:szCs w:val="20"/>
              </w:rPr>
            </w:pPr>
            <w:r w:rsidRPr="0049419D">
              <w:rPr>
                <w:sz w:val="20"/>
                <w:szCs w:val="20"/>
              </w:rPr>
              <w:t>Peace Corps</w:t>
            </w:r>
          </w:p>
        </w:tc>
        <w:tc>
          <w:tcPr>
            <w:tcW w:w="7915" w:type="dxa"/>
            <w:tcBorders>
              <w:top w:val="nil"/>
              <w:left w:val="nil"/>
              <w:bottom w:val="nil"/>
              <w:right w:val="nil"/>
            </w:tcBorders>
          </w:tcPr>
          <w:p w14:paraId="34B90516" w14:textId="77777777" w:rsidR="0049419D" w:rsidRPr="0049419D" w:rsidRDefault="0049419D" w:rsidP="0049419D">
            <w:pPr>
              <w:rPr>
                <w:sz w:val="20"/>
                <w:szCs w:val="20"/>
              </w:rPr>
            </w:pPr>
            <w:r w:rsidRPr="0049419D">
              <w:rPr>
                <w:sz w:val="20"/>
                <w:szCs w:val="20"/>
              </w:rPr>
              <w:t xml:space="preserve">Connects students with Peace Corps Volunteers to facilitate intercultural communication. </w:t>
            </w:r>
          </w:p>
          <w:p w14:paraId="3904F33C" w14:textId="77777777" w:rsidR="0049419D" w:rsidRPr="0049419D" w:rsidRDefault="009A60F0" w:rsidP="0049419D">
            <w:pPr>
              <w:rPr>
                <w:sz w:val="20"/>
                <w:szCs w:val="20"/>
              </w:rPr>
            </w:pPr>
            <w:hyperlink r:id="rId15" w:history="1">
              <w:r w:rsidR="0049419D" w:rsidRPr="0049419D">
                <w:rPr>
                  <w:color w:val="0563C1"/>
                  <w:sz w:val="20"/>
                  <w:szCs w:val="20"/>
                  <w:u w:val="single"/>
                </w:rPr>
                <w:t>http://pcrmweb.peacecorps.gov/cn/aflq5/rpcvspeaker</w:t>
              </w:r>
            </w:hyperlink>
            <w:r w:rsidR="0049419D" w:rsidRPr="0049419D">
              <w:rPr>
                <w:sz w:val="20"/>
                <w:szCs w:val="20"/>
              </w:rPr>
              <w:t xml:space="preserve"> </w:t>
            </w:r>
          </w:p>
          <w:p w14:paraId="0DF42143" w14:textId="77777777" w:rsidR="0049419D" w:rsidRPr="0049419D" w:rsidRDefault="0049419D" w:rsidP="0049419D">
            <w:pPr>
              <w:rPr>
                <w:sz w:val="20"/>
                <w:szCs w:val="20"/>
              </w:rPr>
            </w:pPr>
          </w:p>
        </w:tc>
      </w:tr>
      <w:tr w:rsidR="0049419D" w:rsidRPr="0049419D" w14:paraId="0413BB93" w14:textId="77777777" w:rsidTr="0049419D">
        <w:tc>
          <w:tcPr>
            <w:tcW w:w="1435" w:type="dxa"/>
            <w:tcBorders>
              <w:top w:val="nil"/>
              <w:left w:val="nil"/>
              <w:bottom w:val="nil"/>
              <w:right w:val="nil"/>
            </w:tcBorders>
          </w:tcPr>
          <w:p w14:paraId="235C6C08" w14:textId="77777777" w:rsidR="0049419D" w:rsidRPr="0049419D" w:rsidRDefault="0049419D" w:rsidP="0049419D">
            <w:pPr>
              <w:jc w:val="center"/>
              <w:rPr>
                <w:sz w:val="20"/>
                <w:szCs w:val="20"/>
              </w:rPr>
            </w:pPr>
            <w:proofErr w:type="spellStart"/>
            <w:r w:rsidRPr="0049419D">
              <w:rPr>
                <w:sz w:val="20"/>
                <w:szCs w:val="20"/>
              </w:rPr>
              <w:t>iEarn</w:t>
            </w:r>
            <w:proofErr w:type="spellEnd"/>
          </w:p>
        </w:tc>
        <w:tc>
          <w:tcPr>
            <w:tcW w:w="7915" w:type="dxa"/>
            <w:tcBorders>
              <w:top w:val="nil"/>
              <w:left w:val="nil"/>
              <w:bottom w:val="nil"/>
              <w:right w:val="nil"/>
            </w:tcBorders>
          </w:tcPr>
          <w:p w14:paraId="2BA923E2" w14:textId="77777777" w:rsidR="0049419D" w:rsidRPr="0049419D" w:rsidRDefault="0049419D" w:rsidP="0049419D">
            <w:pPr>
              <w:rPr>
                <w:sz w:val="20"/>
                <w:szCs w:val="20"/>
              </w:rPr>
            </w:pPr>
            <w:r w:rsidRPr="0049419D">
              <w:rPr>
                <w:sz w:val="20"/>
                <w:szCs w:val="20"/>
              </w:rPr>
              <w:t>Connects teachers from different parts of the world. A teacher can announce an idea for a collaborative project (e.g. a pen-pal project) and find partners.</w:t>
            </w:r>
          </w:p>
          <w:p w14:paraId="12D258B1" w14:textId="77777777" w:rsidR="0049419D" w:rsidRPr="0049419D" w:rsidRDefault="009A60F0" w:rsidP="0049419D">
            <w:pPr>
              <w:rPr>
                <w:sz w:val="20"/>
                <w:szCs w:val="20"/>
              </w:rPr>
            </w:pPr>
            <w:hyperlink r:id="rId16" w:history="1">
              <w:r w:rsidR="0049419D" w:rsidRPr="0049419D">
                <w:rPr>
                  <w:color w:val="0563C1"/>
                  <w:sz w:val="20"/>
                  <w:szCs w:val="20"/>
                  <w:u w:val="single"/>
                </w:rPr>
                <w:t>https://iearn.org/cc/space-10/group-171/about</w:t>
              </w:r>
            </w:hyperlink>
            <w:r w:rsidR="0049419D" w:rsidRPr="0049419D">
              <w:rPr>
                <w:sz w:val="20"/>
                <w:szCs w:val="20"/>
              </w:rPr>
              <w:t xml:space="preserve"> </w:t>
            </w:r>
          </w:p>
          <w:p w14:paraId="2AA12BA2" w14:textId="77777777" w:rsidR="0049419D" w:rsidRPr="0049419D" w:rsidRDefault="0049419D" w:rsidP="0049419D">
            <w:pPr>
              <w:rPr>
                <w:sz w:val="20"/>
                <w:szCs w:val="20"/>
              </w:rPr>
            </w:pPr>
          </w:p>
        </w:tc>
      </w:tr>
      <w:tr w:rsidR="0049419D" w:rsidRPr="0049419D" w14:paraId="60A5BFE8" w14:textId="77777777" w:rsidTr="0049419D">
        <w:tc>
          <w:tcPr>
            <w:tcW w:w="1435" w:type="dxa"/>
            <w:tcBorders>
              <w:top w:val="nil"/>
              <w:left w:val="nil"/>
              <w:right w:val="nil"/>
            </w:tcBorders>
          </w:tcPr>
          <w:p w14:paraId="040FA217" w14:textId="77777777" w:rsidR="0049419D" w:rsidRPr="0049419D" w:rsidRDefault="0049419D" w:rsidP="0049419D">
            <w:pPr>
              <w:jc w:val="center"/>
              <w:rPr>
                <w:sz w:val="20"/>
                <w:szCs w:val="20"/>
              </w:rPr>
            </w:pPr>
            <w:proofErr w:type="spellStart"/>
            <w:r w:rsidRPr="0049419D">
              <w:rPr>
                <w:sz w:val="20"/>
                <w:szCs w:val="20"/>
              </w:rPr>
              <w:t>PenPal</w:t>
            </w:r>
            <w:proofErr w:type="spellEnd"/>
            <w:r w:rsidRPr="0049419D">
              <w:rPr>
                <w:sz w:val="20"/>
                <w:szCs w:val="20"/>
              </w:rPr>
              <w:t xml:space="preserve"> Schools</w:t>
            </w:r>
          </w:p>
        </w:tc>
        <w:tc>
          <w:tcPr>
            <w:tcW w:w="7915" w:type="dxa"/>
            <w:tcBorders>
              <w:top w:val="nil"/>
              <w:left w:val="nil"/>
              <w:right w:val="nil"/>
            </w:tcBorders>
          </w:tcPr>
          <w:p w14:paraId="66C9FBDC" w14:textId="77777777" w:rsidR="0049419D" w:rsidRPr="0049419D" w:rsidRDefault="0049419D" w:rsidP="0049419D">
            <w:pPr>
              <w:rPr>
                <w:sz w:val="20"/>
                <w:szCs w:val="20"/>
              </w:rPr>
            </w:pPr>
            <w:r w:rsidRPr="0049419D">
              <w:rPr>
                <w:sz w:val="20"/>
                <w:szCs w:val="20"/>
              </w:rPr>
              <w:t>Offers teachers and students from different countries to collaborate on projects related to various subject areas and topics.</w:t>
            </w:r>
          </w:p>
          <w:p w14:paraId="6DD006E7" w14:textId="77777777" w:rsidR="0049419D" w:rsidRPr="0049419D" w:rsidRDefault="009A60F0" w:rsidP="0049419D">
            <w:pPr>
              <w:rPr>
                <w:color w:val="000000"/>
                <w:sz w:val="20"/>
                <w:szCs w:val="20"/>
              </w:rPr>
            </w:pPr>
            <w:hyperlink r:id="rId17" w:history="1">
              <w:r w:rsidR="0049419D" w:rsidRPr="0049419D">
                <w:rPr>
                  <w:color w:val="0563C1"/>
                  <w:sz w:val="20"/>
                  <w:szCs w:val="20"/>
                  <w:u w:val="single"/>
                </w:rPr>
                <w:t>https://www.penpalschools.com/</w:t>
              </w:r>
            </w:hyperlink>
            <w:r w:rsidR="0049419D" w:rsidRPr="0049419D">
              <w:rPr>
                <w:color w:val="000000"/>
                <w:sz w:val="20"/>
                <w:szCs w:val="20"/>
              </w:rPr>
              <w:t xml:space="preserve"> </w:t>
            </w:r>
          </w:p>
        </w:tc>
      </w:tr>
    </w:tbl>
    <w:p w14:paraId="51C00803" w14:textId="77777777" w:rsidR="0049419D" w:rsidRPr="0049419D" w:rsidRDefault="0049419D" w:rsidP="0049419D">
      <w:pPr>
        <w:spacing w:line="480" w:lineRule="auto"/>
      </w:pPr>
    </w:p>
    <w:p w14:paraId="4F004809" w14:textId="77777777" w:rsidR="0049419D" w:rsidRPr="0049419D" w:rsidRDefault="0049419D" w:rsidP="0049419D"/>
    <w:p w14:paraId="58D85F27" w14:textId="77777777" w:rsidR="0049419D" w:rsidRPr="00516F0E" w:rsidRDefault="0049419D" w:rsidP="0049419D">
      <w:pPr>
        <w:spacing w:line="480" w:lineRule="auto"/>
        <w:jc w:val="center"/>
        <w:rPr>
          <w:b/>
        </w:rPr>
      </w:pPr>
      <w:r w:rsidRPr="00516F0E">
        <w:rPr>
          <w:b/>
        </w:rPr>
        <w:t>Appendix C</w:t>
      </w:r>
    </w:p>
    <w:p w14:paraId="7FC74BDB" w14:textId="77777777" w:rsidR="0049419D" w:rsidRPr="0049419D" w:rsidRDefault="0049419D" w:rsidP="0049419D">
      <w:pPr>
        <w:spacing w:line="480" w:lineRule="auto"/>
        <w:jc w:val="center"/>
      </w:pPr>
      <w:r w:rsidRPr="0049419D">
        <w:t>Stages of Implementation of the Project</w:t>
      </w:r>
    </w:p>
    <w:tbl>
      <w:tblPr>
        <w:tblStyle w:val="TableGrid6"/>
        <w:tblW w:w="0" w:type="auto"/>
        <w:tblLayout w:type="fixed"/>
        <w:tblLook w:val="04A0" w:firstRow="1" w:lastRow="0" w:firstColumn="1" w:lastColumn="0" w:noHBand="0" w:noVBand="1"/>
      </w:tblPr>
      <w:tblGrid>
        <w:gridCol w:w="1435"/>
        <w:gridCol w:w="1260"/>
        <w:gridCol w:w="6655"/>
      </w:tblGrid>
      <w:tr w:rsidR="0049419D" w:rsidRPr="0049419D" w14:paraId="3D7164C4" w14:textId="77777777" w:rsidTr="0049419D">
        <w:tc>
          <w:tcPr>
            <w:tcW w:w="1435" w:type="dxa"/>
            <w:tcBorders>
              <w:left w:val="nil"/>
              <w:bottom w:val="single" w:sz="4" w:space="0" w:color="auto"/>
              <w:right w:val="nil"/>
            </w:tcBorders>
          </w:tcPr>
          <w:p w14:paraId="1BB617F5" w14:textId="77777777" w:rsidR="0049419D" w:rsidRPr="0049419D" w:rsidRDefault="0049419D" w:rsidP="0049419D">
            <w:pPr>
              <w:adjustRightInd w:val="0"/>
              <w:jc w:val="center"/>
              <w:rPr>
                <w:sz w:val="20"/>
                <w:szCs w:val="20"/>
              </w:rPr>
            </w:pPr>
            <w:r w:rsidRPr="0049419D">
              <w:rPr>
                <w:sz w:val="20"/>
                <w:szCs w:val="20"/>
              </w:rPr>
              <w:t>Stage</w:t>
            </w:r>
          </w:p>
        </w:tc>
        <w:tc>
          <w:tcPr>
            <w:tcW w:w="1260" w:type="dxa"/>
            <w:tcBorders>
              <w:left w:val="nil"/>
              <w:bottom w:val="single" w:sz="4" w:space="0" w:color="auto"/>
              <w:right w:val="nil"/>
            </w:tcBorders>
          </w:tcPr>
          <w:p w14:paraId="33C1CE2C" w14:textId="77777777" w:rsidR="0049419D" w:rsidRPr="0049419D" w:rsidRDefault="0049419D" w:rsidP="0049419D">
            <w:pPr>
              <w:adjustRightInd w:val="0"/>
              <w:jc w:val="center"/>
              <w:rPr>
                <w:sz w:val="20"/>
                <w:szCs w:val="20"/>
              </w:rPr>
            </w:pPr>
            <w:r w:rsidRPr="0049419D">
              <w:rPr>
                <w:sz w:val="20"/>
                <w:szCs w:val="20"/>
              </w:rPr>
              <w:t>Timeline &amp; Duration</w:t>
            </w:r>
          </w:p>
        </w:tc>
        <w:tc>
          <w:tcPr>
            <w:tcW w:w="6655" w:type="dxa"/>
            <w:tcBorders>
              <w:left w:val="nil"/>
              <w:bottom w:val="single" w:sz="4" w:space="0" w:color="auto"/>
              <w:right w:val="nil"/>
            </w:tcBorders>
          </w:tcPr>
          <w:p w14:paraId="2D0F425B" w14:textId="77777777" w:rsidR="0049419D" w:rsidRPr="0049419D" w:rsidRDefault="0049419D" w:rsidP="0049419D">
            <w:pPr>
              <w:adjustRightInd w:val="0"/>
              <w:jc w:val="center"/>
              <w:rPr>
                <w:sz w:val="20"/>
                <w:szCs w:val="20"/>
              </w:rPr>
            </w:pPr>
            <w:r w:rsidRPr="0049419D">
              <w:rPr>
                <w:sz w:val="20"/>
                <w:szCs w:val="20"/>
              </w:rPr>
              <w:t>Description</w:t>
            </w:r>
          </w:p>
        </w:tc>
      </w:tr>
      <w:tr w:rsidR="0049419D" w:rsidRPr="0049419D" w14:paraId="3C1E70E2" w14:textId="77777777" w:rsidTr="0049419D">
        <w:tc>
          <w:tcPr>
            <w:tcW w:w="1435" w:type="dxa"/>
            <w:tcBorders>
              <w:left w:val="nil"/>
              <w:right w:val="nil"/>
            </w:tcBorders>
          </w:tcPr>
          <w:p w14:paraId="42338686" w14:textId="77777777" w:rsidR="0049419D" w:rsidRPr="0049419D" w:rsidRDefault="0049419D" w:rsidP="0049419D">
            <w:pPr>
              <w:adjustRightInd w:val="0"/>
              <w:jc w:val="center"/>
              <w:rPr>
                <w:sz w:val="20"/>
                <w:szCs w:val="20"/>
              </w:rPr>
            </w:pPr>
            <w:r w:rsidRPr="0049419D">
              <w:rPr>
                <w:sz w:val="20"/>
                <w:szCs w:val="20"/>
              </w:rPr>
              <w:t xml:space="preserve">Introduction </w:t>
            </w:r>
          </w:p>
        </w:tc>
        <w:tc>
          <w:tcPr>
            <w:tcW w:w="1260" w:type="dxa"/>
            <w:tcBorders>
              <w:left w:val="nil"/>
              <w:right w:val="nil"/>
            </w:tcBorders>
          </w:tcPr>
          <w:p w14:paraId="4DBC9BEB" w14:textId="77777777" w:rsidR="0049419D" w:rsidRPr="0049419D" w:rsidRDefault="0049419D" w:rsidP="0049419D">
            <w:pPr>
              <w:adjustRightInd w:val="0"/>
              <w:jc w:val="center"/>
              <w:rPr>
                <w:sz w:val="20"/>
                <w:szCs w:val="20"/>
              </w:rPr>
            </w:pPr>
            <w:r w:rsidRPr="0049419D">
              <w:rPr>
                <w:sz w:val="20"/>
                <w:szCs w:val="20"/>
              </w:rPr>
              <w:t>First meeting</w:t>
            </w:r>
          </w:p>
          <w:p w14:paraId="57B66D06" w14:textId="77777777" w:rsidR="0049419D" w:rsidRPr="0049419D" w:rsidRDefault="0049419D" w:rsidP="0049419D">
            <w:pPr>
              <w:adjustRightInd w:val="0"/>
              <w:jc w:val="center"/>
              <w:rPr>
                <w:sz w:val="20"/>
                <w:szCs w:val="20"/>
              </w:rPr>
            </w:pPr>
            <w:r w:rsidRPr="0049419D">
              <w:rPr>
                <w:sz w:val="20"/>
                <w:szCs w:val="20"/>
              </w:rPr>
              <w:t>About 30 min.</w:t>
            </w:r>
          </w:p>
        </w:tc>
        <w:tc>
          <w:tcPr>
            <w:tcW w:w="6655" w:type="dxa"/>
            <w:tcBorders>
              <w:left w:val="nil"/>
              <w:right w:val="nil"/>
            </w:tcBorders>
          </w:tcPr>
          <w:p w14:paraId="0C81532E" w14:textId="77777777" w:rsidR="0049419D" w:rsidRPr="0049419D" w:rsidRDefault="0049419D" w:rsidP="0049419D">
            <w:pPr>
              <w:adjustRightInd w:val="0"/>
              <w:rPr>
                <w:sz w:val="20"/>
                <w:szCs w:val="20"/>
              </w:rPr>
            </w:pPr>
            <w:r w:rsidRPr="0049419D">
              <w:rPr>
                <w:sz w:val="20"/>
                <w:szCs w:val="20"/>
              </w:rPr>
              <w:t>Introduction of the project, timeframe, requirements, answer student questions.</w:t>
            </w:r>
          </w:p>
          <w:p w14:paraId="5860B093" w14:textId="77777777" w:rsidR="0049419D" w:rsidRPr="0049419D" w:rsidRDefault="0049419D" w:rsidP="0049419D">
            <w:pPr>
              <w:adjustRightInd w:val="0"/>
              <w:rPr>
                <w:sz w:val="20"/>
                <w:szCs w:val="20"/>
              </w:rPr>
            </w:pPr>
          </w:p>
          <w:p w14:paraId="1062DF55" w14:textId="77777777" w:rsidR="0049419D" w:rsidRPr="0049419D" w:rsidRDefault="0049419D" w:rsidP="0049419D">
            <w:pPr>
              <w:adjustRightInd w:val="0"/>
              <w:rPr>
                <w:sz w:val="20"/>
                <w:szCs w:val="20"/>
              </w:rPr>
            </w:pPr>
            <w:r w:rsidRPr="0049419D">
              <w:rPr>
                <w:sz w:val="20"/>
                <w:szCs w:val="20"/>
              </w:rPr>
              <w:t>Goals: Ensure a clear understanding of the goals and requirements. Address possible reservations. Collaboratively generate ideas and questions for letters.</w:t>
            </w:r>
          </w:p>
        </w:tc>
      </w:tr>
      <w:tr w:rsidR="0049419D" w:rsidRPr="0049419D" w14:paraId="4BFE8999" w14:textId="77777777" w:rsidTr="0049419D">
        <w:trPr>
          <w:trHeight w:val="2393"/>
        </w:trPr>
        <w:tc>
          <w:tcPr>
            <w:tcW w:w="1435" w:type="dxa"/>
            <w:tcBorders>
              <w:left w:val="nil"/>
              <w:right w:val="nil"/>
            </w:tcBorders>
          </w:tcPr>
          <w:p w14:paraId="76DD5FFF" w14:textId="77777777" w:rsidR="0049419D" w:rsidRPr="0049419D" w:rsidRDefault="0049419D" w:rsidP="0049419D">
            <w:pPr>
              <w:jc w:val="center"/>
              <w:rPr>
                <w:sz w:val="20"/>
                <w:szCs w:val="20"/>
              </w:rPr>
            </w:pPr>
            <w:r w:rsidRPr="0049419D">
              <w:rPr>
                <w:sz w:val="20"/>
                <w:szCs w:val="20"/>
              </w:rPr>
              <w:t>Send initial letters to Russian pen-pals</w:t>
            </w:r>
          </w:p>
          <w:p w14:paraId="25B8A7EF" w14:textId="77777777" w:rsidR="0049419D" w:rsidRPr="0049419D" w:rsidRDefault="0049419D" w:rsidP="0049419D">
            <w:pPr>
              <w:jc w:val="center"/>
              <w:rPr>
                <w:sz w:val="20"/>
                <w:szCs w:val="20"/>
              </w:rPr>
            </w:pPr>
          </w:p>
          <w:p w14:paraId="380F3DB0" w14:textId="77777777" w:rsidR="0049419D" w:rsidRPr="0049419D" w:rsidRDefault="0049419D" w:rsidP="0049419D">
            <w:pPr>
              <w:jc w:val="center"/>
              <w:rPr>
                <w:sz w:val="20"/>
                <w:szCs w:val="20"/>
              </w:rPr>
            </w:pPr>
            <w:r w:rsidRPr="0049419D">
              <w:rPr>
                <w:sz w:val="20"/>
                <w:szCs w:val="20"/>
              </w:rPr>
              <w:t xml:space="preserve">Discussion </w:t>
            </w:r>
          </w:p>
        </w:tc>
        <w:tc>
          <w:tcPr>
            <w:tcW w:w="1260" w:type="dxa"/>
            <w:tcBorders>
              <w:left w:val="nil"/>
              <w:right w:val="nil"/>
            </w:tcBorders>
          </w:tcPr>
          <w:p w14:paraId="3BBE55D1" w14:textId="77777777" w:rsidR="0049419D" w:rsidRPr="0049419D" w:rsidRDefault="0049419D" w:rsidP="0049419D">
            <w:pPr>
              <w:jc w:val="center"/>
              <w:rPr>
                <w:sz w:val="20"/>
                <w:szCs w:val="20"/>
              </w:rPr>
            </w:pPr>
            <w:r w:rsidRPr="0049419D">
              <w:rPr>
                <w:sz w:val="20"/>
                <w:szCs w:val="20"/>
              </w:rPr>
              <w:t>1 week</w:t>
            </w:r>
          </w:p>
          <w:p w14:paraId="0FEEF457" w14:textId="77777777" w:rsidR="0049419D" w:rsidRPr="0049419D" w:rsidRDefault="0049419D" w:rsidP="0049419D">
            <w:pPr>
              <w:jc w:val="center"/>
              <w:rPr>
                <w:sz w:val="20"/>
                <w:szCs w:val="20"/>
              </w:rPr>
            </w:pPr>
            <w:r w:rsidRPr="0049419D">
              <w:rPr>
                <w:sz w:val="20"/>
                <w:szCs w:val="20"/>
              </w:rPr>
              <w:t>later</w:t>
            </w:r>
          </w:p>
          <w:p w14:paraId="5D207709" w14:textId="77777777" w:rsidR="0049419D" w:rsidRPr="0049419D" w:rsidRDefault="0049419D" w:rsidP="0049419D">
            <w:pPr>
              <w:jc w:val="center"/>
              <w:rPr>
                <w:sz w:val="20"/>
                <w:szCs w:val="20"/>
              </w:rPr>
            </w:pPr>
          </w:p>
          <w:p w14:paraId="41836E69" w14:textId="77777777" w:rsidR="0049419D" w:rsidRPr="0049419D" w:rsidRDefault="0049419D" w:rsidP="0049419D">
            <w:pPr>
              <w:jc w:val="center"/>
              <w:rPr>
                <w:sz w:val="20"/>
                <w:szCs w:val="20"/>
              </w:rPr>
            </w:pPr>
          </w:p>
          <w:p w14:paraId="6A2F7953" w14:textId="77777777" w:rsidR="0049419D" w:rsidRPr="0049419D" w:rsidRDefault="0049419D" w:rsidP="0049419D">
            <w:pPr>
              <w:jc w:val="center"/>
              <w:rPr>
                <w:sz w:val="20"/>
                <w:szCs w:val="20"/>
              </w:rPr>
            </w:pPr>
            <w:r w:rsidRPr="0049419D">
              <w:rPr>
                <w:sz w:val="20"/>
                <w:szCs w:val="20"/>
              </w:rPr>
              <w:t>About 40 min.</w:t>
            </w:r>
          </w:p>
        </w:tc>
        <w:tc>
          <w:tcPr>
            <w:tcW w:w="6655" w:type="dxa"/>
            <w:tcBorders>
              <w:left w:val="nil"/>
              <w:right w:val="nil"/>
            </w:tcBorders>
          </w:tcPr>
          <w:p w14:paraId="3A4E546C" w14:textId="77777777" w:rsidR="0049419D" w:rsidRPr="0049419D" w:rsidRDefault="0049419D" w:rsidP="0049419D">
            <w:pPr>
              <w:rPr>
                <w:sz w:val="20"/>
                <w:szCs w:val="20"/>
              </w:rPr>
            </w:pPr>
            <w:r w:rsidRPr="0049419D">
              <w:rPr>
                <w:sz w:val="20"/>
                <w:szCs w:val="20"/>
              </w:rPr>
              <w:t>Candidates bring written letters to class or scan and submit them online.</w:t>
            </w:r>
          </w:p>
          <w:p w14:paraId="6A0982F5" w14:textId="77777777" w:rsidR="0049419D" w:rsidRPr="0049419D" w:rsidRDefault="0049419D" w:rsidP="0049419D">
            <w:pPr>
              <w:rPr>
                <w:sz w:val="20"/>
                <w:szCs w:val="20"/>
              </w:rPr>
            </w:pPr>
            <w:r w:rsidRPr="0049419D">
              <w:rPr>
                <w:sz w:val="20"/>
                <w:szCs w:val="20"/>
              </w:rPr>
              <w:t xml:space="preserve">Discussion of the experience of writing letters to ELLs. Areas: content, difficulties, thoughts, and emotions experienced when writing, questions regarding the project. </w:t>
            </w:r>
          </w:p>
          <w:p w14:paraId="09F1D509" w14:textId="77777777" w:rsidR="0049419D" w:rsidRPr="0049419D" w:rsidRDefault="0049419D" w:rsidP="0049419D">
            <w:pPr>
              <w:rPr>
                <w:sz w:val="20"/>
                <w:szCs w:val="20"/>
              </w:rPr>
            </w:pPr>
          </w:p>
          <w:p w14:paraId="1D86808E" w14:textId="77777777" w:rsidR="0049419D" w:rsidRPr="0049419D" w:rsidRDefault="0049419D" w:rsidP="0049419D">
            <w:pPr>
              <w:rPr>
                <w:sz w:val="20"/>
                <w:szCs w:val="20"/>
              </w:rPr>
            </w:pPr>
            <w:r w:rsidRPr="0049419D">
              <w:rPr>
                <w:sz w:val="20"/>
                <w:szCs w:val="20"/>
              </w:rPr>
              <w:t>Goals: reflect on the experience of writing to a foreigner, become aware of feelings and preconceptions about the pen-pals. Through inquiry, become aware of possible prejudices. Practice self-reflection. Address potential fears regarding ELLs. Discuss any insights concerning diversity. Promote cultural sensitivity and multicultural awareness.</w:t>
            </w:r>
          </w:p>
        </w:tc>
      </w:tr>
      <w:tr w:rsidR="0049419D" w:rsidRPr="0049419D" w14:paraId="2E5250B7" w14:textId="77777777" w:rsidTr="0049419D">
        <w:trPr>
          <w:trHeight w:val="2339"/>
        </w:trPr>
        <w:tc>
          <w:tcPr>
            <w:tcW w:w="1435" w:type="dxa"/>
            <w:tcBorders>
              <w:left w:val="nil"/>
              <w:right w:val="nil"/>
            </w:tcBorders>
          </w:tcPr>
          <w:p w14:paraId="7EF18D64" w14:textId="77777777" w:rsidR="0049419D" w:rsidRPr="0049419D" w:rsidRDefault="0049419D" w:rsidP="0049419D">
            <w:pPr>
              <w:jc w:val="center"/>
              <w:rPr>
                <w:sz w:val="20"/>
                <w:szCs w:val="20"/>
              </w:rPr>
            </w:pPr>
            <w:r w:rsidRPr="0049419D">
              <w:rPr>
                <w:sz w:val="20"/>
                <w:szCs w:val="20"/>
              </w:rPr>
              <w:t xml:space="preserve">Read Russian pen-pals’ responses </w:t>
            </w:r>
          </w:p>
          <w:p w14:paraId="13CA3B3A" w14:textId="77777777" w:rsidR="0049419D" w:rsidRPr="0049419D" w:rsidRDefault="0049419D" w:rsidP="0049419D">
            <w:pPr>
              <w:jc w:val="center"/>
              <w:rPr>
                <w:sz w:val="20"/>
                <w:szCs w:val="20"/>
              </w:rPr>
            </w:pPr>
          </w:p>
          <w:p w14:paraId="504EEA53" w14:textId="77777777" w:rsidR="0049419D" w:rsidRPr="0049419D" w:rsidRDefault="0049419D" w:rsidP="0049419D">
            <w:pPr>
              <w:jc w:val="center"/>
              <w:rPr>
                <w:sz w:val="20"/>
                <w:szCs w:val="20"/>
              </w:rPr>
            </w:pPr>
            <w:r w:rsidRPr="0049419D">
              <w:rPr>
                <w:sz w:val="20"/>
                <w:szCs w:val="20"/>
              </w:rPr>
              <w:t xml:space="preserve">Discussion </w:t>
            </w:r>
          </w:p>
        </w:tc>
        <w:tc>
          <w:tcPr>
            <w:tcW w:w="1260" w:type="dxa"/>
            <w:tcBorders>
              <w:left w:val="nil"/>
              <w:right w:val="nil"/>
            </w:tcBorders>
          </w:tcPr>
          <w:p w14:paraId="7E804C36" w14:textId="77777777" w:rsidR="0049419D" w:rsidRPr="0049419D" w:rsidRDefault="0049419D" w:rsidP="0049419D">
            <w:pPr>
              <w:jc w:val="center"/>
              <w:rPr>
                <w:sz w:val="20"/>
                <w:szCs w:val="20"/>
              </w:rPr>
            </w:pPr>
            <w:r w:rsidRPr="0049419D">
              <w:rPr>
                <w:sz w:val="20"/>
                <w:szCs w:val="20"/>
              </w:rPr>
              <w:t>2 weeks later</w:t>
            </w:r>
          </w:p>
          <w:p w14:paraId="1AF8C08F" w14:textId="77777777" w:rsidR="0049419D" w:rsidRPr="0049419D" w:rsidRDefault="0049419D" w:rsidP="0049419D">
            <w:pPr>
              <w:jc w:val="center"/>
              <w:rPr>
                <w:sz w:val="20"/>
                <w:szCs w:val="20"/>
              </w:rPr>
            </w:pPr>
          </w:p>
          <w:p w14:paraId="53FFFB0D" w14:textId="77777777" w:rsidR="0049419D" w:rsidRPr="0049419D" w:rsidRDefault="0049419D" w:rsidP="0049419D">
            <w:pPr>
              <w:jc w:val="center"/>
              <w:rPr>
                <w:sz w:val="20"/>
                <w:szCs w:val="20"/>
              </w:rPr>
            </w:pPr>
          </w:p>
          <w:p w14:paraId="1E4EF80B" w14:textId="77777777" w:rsidR="0049419D" w:rsidRPr="0049419D" w:rsidRDefault="0049419D" w:rsidP="0049419D">
            <w:pPr>
              <w:jc w:val="center"/>
              <w:rPr>
                <w:sz w:val="20"/>
                <w:szCs w:val="20"/>
              </w:rPr>
            </w:pPr>
          </w:p>
          <w:p w14:paraId="568E7B10" w14:textId="77777777" w:rsidR="0049419D" w:rsidRPr="0049419D" w:rsidRDefault="0049419D" w:rsidP="0049419D">
            <w:pPr>
              <w:jc w:val="center"/>
              <w:rPr>
                <w:sz w:val="20"/>
                <w:szCs w:val="20"/>
              </w:rPr>
            </w:pPr>
            <w:r w:rsidRPr="0049419D">
              <w:rPr>
                <w:sz w:val="20"/>
                <w:szCs w:val="20"/>
              </w:rPr>
              <w:t>About 40 min.</w:t>
            </w:r>
          </w:p>
        </w:tc>
        <w:tc>
          <w:tcPr>
            <w:tcW w:w="6655" w:type="dxa"/>
            <w:tcBorders>
              <w:left w:val="nil"/>
              <w:right w:val="nil"/>
            </w:tcBorders>
          </w:tcPr>
          <w:p w14:paraId="3313F014" w14:textId="77777777" w:rsidR="0049419D" w:rsidRPr="0049419D" w:rsidRDefault="0049419D" w:rsidP="0049419D">
            <w:pPr>
              <w:rPr>
                <w:sz w:val="20"/>
                <w:szCs w:val="20"/>
              </w:rPr>
            </w:pPr>
            <w:r w:rsidRPr="0049419D">
              <w:rPr>
                <w:sz w:val="20"/>
                <w:szCs w:val="20"/>
              </w:rPr>
              <w:t>The partner teacher emails scanned pen-pals’ responses; candidates read and discuss them.</w:t>
            </w:r>
          </w:p>
          <w:p w14:paraId="1EEDEBE3" w14:textId="77777777" w:rsidR="0049419D" w:rsidRPr="0049419D" w:rsidRDefault="0049419D" w:rsidP="0049419D">
            <w:pPr>
              <w:rPr>
                <w:sz w:val="20"/>
                <w:szCs w:val="20"/>
              </w:rPr>
            </w:pPr>
          </w:p>
          <w:p w14:paraId="287F14EB" w14:textId="77777777" w:rsidR="0049419D" w:rsidRPr="0049419D" w:rsidRDefault="0049419D" w:rsidP="0049419D">
            <w:pPr>
              <w:rPr>
                <w:sz w:val="20"/>
                <w:szCs w:val="20"/>
              </w:rPr>
            </w:pPr>
            <w:r w:rsidRPr="0049419D">
              <w:rPr>
                <w:sz w:val="20"/>
                <w:szCs w:val="20"/>
              </w:rPr>
              <w:t xml:space="preserve">Goals: clear any misunderstandings (e.g. caused by the language barrier) through inquiry and application of knowledge from methods courses. Discuss the effects of language, country of origin, and culture on communication and their potential implications for teaching practice. Promote cultural sensitivity and multicultural awareness. Discuss any other insights regarding diversity. Compare Russian and American cultures, daily life, schooling, and make inferences regarding teaching and learning based on the comparison. </w:t>
            </w:r>
          </w:p>
        </w:tc>
      </w:tr>
      <w:tr w:rsidR="0049419D" w:rsidRPr="0049419D" w14:paraId="0A454891" w14:textId="77777777" w:rsidTr="0049419D">
        <w:trPr>
          <w:trHeight w:val="1871"/>
        </w:trPr>
        <w:tc>
          <w:tcPr>
            <w:tcW w:w="1435" w:type="dxa"/>
            <w:tcBorders>
              <w:left w:val="nil"/>
              <w:right w:val="nil"/>
            </w:tcBorders>
          </w:tcPr>
          <w:p w14:paraId="26EF520D" w14:textId="77777777" w:rsidR="0049419D" w:rsidRPr="0049419D" w:rsidRDefault="0049419D" w:rsidP="0049419D">
            <w:pPr>
              <w:jc w:val="center"/>
              <w:rPr>
                <w:sz w:val="20"/>
                <w:szCs w:val="20"/>
              </w:rPr>
            </w:pPr>
            <w:r w:rsidRPr="0049419D">
              <w:rPr>
                <w:sz w:val="20"/>
                <w:szCs w:val="20"/>
              </w:rPr>
              <w:t>Send responses to Russian pen-pals</w:t>
            </w:r>
          </w:p>
          <w:p w14:paraId="462B80D5" w14:textId="77777777" w:rsidR="0049419D" w:rsidRPr="0049419D" w:rsidRDefault="0049419D" w:rsidP="0049419D">
            <w:pPr>
              <w:jc w:val="center"/>
              <w:rPr>
                <w:sz w:val="20"/>
                <w:szCs w:val="20"/>
              </w:rPr>
            </w:pPr>
          </w:p>
          <w:p w14:paraId="0DFA497E" w14:textId="77777777" w:rsidR="0049419D" w:rsidRPr="0049419D" w:rsidRDefault="0049419D" w:rsidP="0049419D">
            <w:pPr>
              <w:jc w:val="center"/>
              <w:rPr>
                <w:sz w:val="20"/>
                <w:szCs w:val="20"/>
              </w:rPr>
            </w:pPr>
            <w:r w:rsidRPr="0049419D">
              <w:rPr>
                <w:sz w:val="20"/>
                <w:szCs w:val="20"/>
              </w:rPr>
              <w:t xml:space="preserve">Discussion </w:t>
            </w:r>
          </w:p>
        </w:tc>
        <w:tc>
          <w:tcPr>
            <w:tcW w:w="1260" w:type="dxa"/>
            <w:tcBorders>
              <w:left w:val="nil"/>
              <w:right w:val="nil"/>
            </w:tcBorders>
          </w:tcPr>
          <w:p w14:paraId="55E21FA5" w14:textId="77777777" w:rsidR="0049419D" w:rsidRPr="0049419D" w:rsidRDefault="0049419D" w:rsidP="0049419D">
            <w:pPr>
              <w:jc w:val="center"/>
              <w:rPr>
                <w:sz w:val="20"/>
                <w:szCs w:val="20"/>
              </w:rPr>
            </w:pPr>
            <w:r w:rsidRPr="0049419D">
              <w:rPr>
                <w:sz w:val="20"/>
                <w:szCs w:val="20"/>
              </w:rPr>
              <w:t>1 week later</w:t>
            </w:r>
          </w:p>
          <w:p w14:paraId="5EE4D19C" w14:textId="77777777" w:rsidR="0049419D" w:rsidRPr="0049419D" w:rsidRDefault="0049419D" w:rsidP="0049419D">
            <w:pPr>
              <w:jc w:val="center"/>
              <w:rPr>
                <w:sz w:val="20"/>
                <w:szCs w:val="20"/>
              </w:rPr>
            </w:pPr>
          </w:p>
          <w:p w14:paraId="0B4A3141" w14:textId="77777777" w:rsidR="0049419D" w:rsidRPr="0049419D" w:rsidRDefault="0049419D" w:rsidP="0049419D">
            <w:pPr>
              <w:rPr>
                <w:sz w:val="20"/>
                <w:szCs w:val="20"/>
              </w:rPr>
            </w:pPr>
          </w:p>
          <w:p w14:paraId="38504D73" w14:textId="77777777" w:rsidR="0049419D" w:rsidRPr="0049419D" w:rsidRDefault="0049419D" w:rsidP="0049419D">
            <w:pPr>
              <w:jc w:val="center"/>
              <w:rPr>
                <w:sz w:val="20"/>
                <w:szCs w:val="20"/>
              </w:rPr>
            </w:pPr>
          </w:p>
          <w:p w14:paraId="7BB80F83" w14:textId="77777777" w:rsidR="0049419D" w:rsidRPr="0049419D" w:rsidRDefault="0049419D" w:rsidP="0049419D">
            <w:pPr>
              <w:jc w:val="center"/>
              <w:rPr>
                <w:sz w:val="20"/>
                <w:szCs w:val="20"/>
              </w:rPr>
            </w:pPr>
            <w:r w:rsidRPr="0049419D">
              <w:rPr>
                <w:sz w:val="20"/>
                <w:szCs w:val="20"/>
              </w:rPr>
              <w:t>About 40 min.</w:t>
            </w:r>
          </w:p>
        </w:tc>
        <w:tc>
          <w:tcPr>
            <w:tcW w:w="6655" w:type="dxa"/>
            <w:tcBorders>
              <w:left w:val="nil"/>
              <w:right w:val="nil"/>
            </w:tcBorders>
          </w:tcPr>
          <w:p w14:paraId="5F381384" w14:textId="77777777" w:rsidR="0049419D" w:rsidRPr="0049419D" w:rsidRDefault="0049419D" w:rsidP="0049419D">
            <w:pPr>
              <w:rPr>
                <w:sz w:val="20"/>
                <w:szCs w:val="20"/>
              </w:rPr>
            </w:pPr>
            <w:r w:rsidRPr="0049419D">
              <w:rPr>
                <w:sz w:val="20"/>
                <w:szCs w:val="20"/>
              </w:rPr>
              <w:t>Candidates bring written letters to class or scan and submit them online.</w:t>
            </w:r>
          </w:p>
          <w:p w14:paraId="0551A3C5" w14:textId="77777777" w:rsidR="0049419D" w:rsidRPr="0049419D" w:rsidRDefault="0049419D" w:rsidP="0049419D">
            <w:pPr>
              <w:rPr>
                <w:sz w:val="20"/>
                <w:szCs w:val="20"/>
              </w:rPr>
            </w:pPr>
            <w:r w:rsidRPr="0049419D">
              <w:rPr>
                <w:sz w:val="20"/>
                <w:szCs w:val="20"/>
              </w:rPr>
              <w:t>Comparison of the experience of writing the first and second sets of letters.</w:t>
            </w:r>
          </w:p>
          <w:p w14:paraId="280476DD" w14:textId="77777777" w:rsidR="0049419D" w:rsidRPr="0049419D" w:rsidRDefault="0049419D" w:rsidP="0049419D">
            <w:pPr>
              <w:rPr>
                <w:sz w:val="20"/>
                <w:szCs w:val="20"/>
              </w:rPr>
            </w:pPr>
          </w:p>
          <w:p w14:paraId="4E50BBE6" w14:textId="77777777" w:rsidR="0049419D" w:rsidRPr="0049419D" w:rsidRDefault="0049419D" w:rsidP="0049419D">
            <w:pPr>
              <w:rPr>
                <w:sz w:val="20"/>
                <w:szCs w:val="20"/>
              </w:rPr>
            </w:pPr>
            <w:r w:rsidRPr="0049419D">
              <w:rPr>
                <w:sz w:val="20"/>
                <w:szCs w:val="20"/>
              </w:rPr>
              <w:t>Goals: Practice self-reflection and Inquiry. Discuss changes in the content of the letters, grammar, style, and others. Determine the reasons behind the changes. Share methods/strategies/approaches to working with ELLs employed during the project. Promote cultural sensitivity and multicultural awareness. Share insights regarding diversity and its effects on teaching and learning.</w:t>
            </w:r>
          </w:p>
        </w:tc>
      </w:tr>
      <w:tr w:rsidR="0049419D" w:rsidRPr="0049419D" w14:paraId="5D48CD81" w14:textId="77777777" w:rsidTr="0049419D">
        <w:trPr>
          <w:trHeight w:val="2330"/>
        </w:trPr>
        <w:tc>
          <w:tcPr>
            <w:tcW w:w="1435" w:type="dxa"/>
            <w:tcBorders>
              <w:left w:val="nil"/>
              <w:right w:val="nil"/>
            </w:tcBorders>
          </w:tcPr>
          <w:p w14:paraId="1EFD8645" w14:textId="77777777" w:rsidR="0049419D" w:rsidRPr="0049419D" w:rsidRDefault="0049419D" w:rsidP="0049419D">
            <w:pPr>
              <w:jc w:val="center"/>
              <w:rPr>
                <w:sz w:val="20"/>
                <w:szCs w:val="20"/>
              </w:rPr>
            </w:pPr>
            <w:r w:rsidRPr="0049419D">
              <w:rPr>
                <w:sz w:val="20"/>
                <w:szCs w:val="20"/>
              </w:rPr>
              <w:t xml:space="preserve">Read Russian pen-pals’ responses </w:t>
            </w:r>
          </w:p>
          <w:p w14:paraId="7F14C341" w14:textId="77777777" w:rsidR="0049419D" w:rsidRPr="0049419D" w:rsidRDefault="0049419D" w:rsidP="0049419D">
            <w:pPr>
              <w:jc w:val="center"/>
              <w:rPr>
                <w:sz w:val="20"/>
                <w:szCs w:val="20"/>
              </w:rPr>
            </w:pPr>
          </w:p>
          <w:p w14:paraId="5A938BAC" w14:textId="77777777" w:rsidR="0049419D" w:rsidRPr="0049419D" w:rsidRDefault="0049419D" w:rsidP="0049419D">
            <w:pPr>
              <w:jc w:val="center"/>
              <w:rPr>
                <w:sz w:val="20"/>
                <w:szCs w:val="20"/>
              </w:rPr>
            </w:pPr>
            <w:r w:rsidRPr="0049419D">
              <w:rPr>
                <w:sz w:val="20"/>
                <w:szCs w:val="20"/>
              </w:rPr>
              <w:t>Discussion</w:t>
            </w:r>
          </w:p>
        </w:tc>
        <w:tc>
          <w:tcPr>
            <w:tcW w:w="1260" w:type="dxa"/>
            <w:tcBorders>
              <w:left w:val="nil"/>
              <w:right w:val="nil"/>
            </w:tcBorders>
          </w:tcPr>
          <w:p w14:paraId="69623773" w14:textId="77777777" w:rsidR="0049419D" w:rsidRPr="0049419D" w:rsidRDefault="0049419D" w:rsidP="0049419D">
            <w:pPr>
              <w:jc w:val="center"/>
              <w:rPr>
                <w:sz w:val="20"/>
                <w:szCs w:val="20"/>
              </w:rPr>
            </w:pPr>
            <w:r w:rsidRPr="0049419D">
              <w:rPr>
                <w:sz w:val="20"/>
                <w:szCs w:val="20"/>
              </w:rPr>
              <w:t>2 weeks later</w:t>
            </w:r>
          </w:p>
          <w:p w14:paraId="77F61B2E" w14:textId="77777777" w:rsidR="0049419D" w:rsidRPr="0049419D" w:rsidRDefault="0049419D" w:rsidP="0049419D">
            <w:pPr>
              <w:jc w:val="center"/>
              <w:rPr>
                <w:sz w:val="20"/>
                <w:szCs w:val="20"/>
              </w:rPr>
            </w:pPr>
          </w:p>
          <w:p w14:paraId="377D9CD6" w14:textId="77777777" w:rsidR="0049419D" w:rsidRPr="0049419D" w:rsidRDefault="0049419D" w:rsidP="0049419D">
            <w:pPr>
              <w:jc w:val="center"/>
              <w:rPr>
                <w:sz w:val="20"/>
                <w:szCs w:val="20"/>
              </w:rPr>
            </w:pPr>
          </w:p>
          <w:p w14:paraId="68F69196" w14:textId="77777777" w:rsidR="0049419D" w:rsidRPr="0049419D" w:rsidRDefault="0049419D" w:rsidP="0049419D">
            <w:pPr>
              <w:jc w:val="center"/>
              <w:rPr>
                <w:sz w:val="20"/>
                <w:szCs w:val="20"/>
              </w:rPr>
            </w:pPr>
          </w:p>
          <w:p w14:paraId="563C0B25" w14:textId="77777777" w:rsidR="0049419D" w:rsidRPr="0049419D" w:rsidRDefault="0049419D" w:rsidP="0049419D">
            <w:pPr>
              <w:jc w:val="center"/>
              <w:rPr>
                <w:sz w:val="20"/>
                <w:szCs w:val="20"/>
              </w:rPr>
            </w:pPr>
            <w:r w:rsidRPr="0049419D">
              <w:rPr>
                <w:sz w:val="20"/>
                <w:szCs w:val="20"/>
              </w:rPr>
              <w:t>About 40 min.</w:t>
            </w:r>
          </w:p>
        </w:tc>
        <w:tc>
          <w:tcPr>
            <w:tcW w:w="6655" w:type="dxa"/>
            <w:tcBorders>
              <w:left w:val="nil"/>
              <w:right w:val="nil"/>
            </w:tcBorders>
          </w:tcPr>
          <w:p w14:paraId="58847A9C" w14:textId="77777777" w:rsidR="0049419D" w:rsidRPr="0049419D" w:rsidRDefault="0049419D" w:rsidP="0049419D">
            <w:pPr>
              <w:rPr>
                <w:sz w:val="20"/>
                <w:szCs w:val="20"/>
              </w:rPr>
            </w:pPr>
            <w:r w:rsidRPr="0049419D">
              <w:rPr>
                <w:sz w:val="20"/>
                <w:szCs w:val="20"/>
              </w:rPr>
              <w:t>The partner teacher emails scanned pen-pals’ responses; candidates read and discuss them.</w:t>
            </w:r>
          </w:p>
          <w:p w14:paraId="6D608949" w14:textId="77777777" w:rsidR="0049419D" w:rsidRPr="0049419D" w:rsidRDefault="0049419D" w:rsidP="0049419D">
            <w:pPr>
              <w:rPr>
                <w:sz w:val="20"/>
                <w:szCs w:val="20"/>
              </w:rPr>
            </w:pPr>
          </w:p>
          <w:p w14:paraId="2B7FB4D3" w14:textId="77777777" w:rsidR="0049419D" w:rsidRPr="0049419D" w:rsidRDefault="0049419D" w:rsidP="0049419D">
            <w:pPr>
              <w:rPr>
                <w:sz w:val="20"/>
                <w:szCs w:val="20"/>
                <w:highlight w:val="yellow"/>
              </w:rPr>
            </w:pPr>
            <w:r w:rsidRPr="0049419D">
              <w:rPr>
                <w:sz w:val="20"/>
                <w:szCs w:val="20"/>
              </w:rPr>
              <w:t xml:space="preserve">Goals: address misunderstandings. During discussions, use inquiry and apply knowledge from methods courses to determine the educational needs of the pen-pals. Discuss possible ELL strategies that could help the pen pals improve their English proficiency. Share new learning regarding ELLs, the role of language, cultural similarities and differences; discuss changes in attitudes and dispositions, and any other insights about diversity acquired from reading the responses. Address possible uncertainties regarding ELLs. Practice inquiry and self-reflection. Promote cultural sensitivity and multicultural awareness. </w:t>
            </w:r>
          </w:p>
        </w:tc>
      </w:tr>
      <w:tr w:rsidR="0049419D" w:rsidRPr="0049419D" w14:paraId="45B60D1F" w14:textId="77777777" w:rsidTr="0049419D">
        <w:tc>
          <w:tcPr>
            <w:tcW w:w="1435" w:type="dxa"/>
            <w:tcBorders>
              <w:left w:val="nil"/>
              <w:right w:val="nil"/>
            </w:tcBorders>
          </w:tcPr>
          <w:p w14:paraId="4D00B94F" w14:textId="77777777" w:rsidR="0049419D" w:rsidRPr="0049419D" w:rsidRDefault="0049419D" w:rsidP="0049419D">
            <w:pPr>
              <w:jc w:val="center"/>
              <w:rPr>
                <w:sz w:val="20"/>
                <w:szCs w:val="20"/>
              </w:rPr>
            </w:pPr>
            <w:r w:rsidRPr="0049419D">
              <w:rPr>
                <w:sz w:val="20"/>
                <w:szCs w:val="20"/>
              </w:rPr>
              <w:t>The Final discussion of the project</w:t>
            </w:r>
          </w:p>
        </w:tc>
        <w:tc>
          <w:tcPr>
            <w:tcW w:w="1260" w:type="dxa"/>
            <w:tcBorders>
              <w:left w:val="nil"/>
              <w:right w:val="nil"/>
            </w:tcBorders>
          </w:tcPr>
          <w:p w14:paraId="2FD1F7AC" w14:textId="77777777" w:rsidR="0049419D" w:rsidRPr="0049419D" w:rsidRDefault="0049419D" w:rsidP="0049419D">
            <w:pPr>
              <w:jc w:val="center"/>
              <w:rPr>
                <w:sz w:val="20"/>
                <w:szCs w:val="20"/>
              </w:rPr>
            </w:pPr>
            <w:r w:rsidRPr="0049419D">
              <w:rPr>
                <w:sz w:val="20"/>
                <w:szCs w:val="20"/>
              </w:rPr>
              <w:t>1 week later</w:t>
            </w:r>
          </w:p>
          <w:p w14:paraId="25175182" w14:textId="77777777" w:rsidR="0049419D" w:rsidRPr="0049419D" w:rsidRDefault="0049419D" w:rsidP="0049419D">
            <w:pPr>
              <w:jc w:val="center"/>
              <w:rPr>
                <w:sz w:val="20"/>
                <w:szCs w:val="20"/>
              </w:rPr>
            </w:pPr>
            <w:r w:rsidRPr="0049419D">
              <w:rPr>
                <w:sz w:val="20"/>
                <w:szCs w:val="20"/>
              </w:rPr>
              <w:t>About 40 min.</w:t>
            </w:r>
          </w:p>
        </w:tc>
        <w:tc>
          <w:tcPr>
            <w:tcW w:w="6655" w:type="dxa"/>
            <w:tcBorders>
              <w:left w:val="nil"/>
              <w:right w:val="nil"/>
            </w:tcBorders>
          </w:tcPr>
          <w:p w14:paraId="0A9EC1C5" w14:textId="77777777" w:rsidR="0049419D" w:rsidRPr="0049419D" w:rsidRDefault="0049419D" w:rsidP="0049419D">
            <w:pPr>
              <w:rPr>
                <w:sz w:val="20"/>
                <w:szCs w:val="20"/>
              </w:rPr>
            </w:pPr>
            <w:r w:rsidRPr="0049419D">
              <w:rPr>
                <w:sz w:val="20"/>
                <w:szCs w:val="20"/>
              </w:rPr>
              <w:t>Discuss the project as a whole and its effects.</w:t>
            </w:r>
          </w:p>
          <w:p w14:paraId="077C585E" w14:textId="77777777" w:rsidR="0049419D" w:rsidRPr="0049419D" w:rsidRDefault="0049419D" w:rsidP="0049419D">
            <w:pPr>
              <w:rPr>
                <w:sz w:val="20"/>
                <w:szCs w:val="20"/>
              </w:rPr>
            </w:pPr>
          </w:p>
          <w:p w14:paraId="4856D1A9" w14:textId="77777777" w:rsidR="0049419D" w:rsidRPr="0049419D" w:rsidRDefault="0049419D" w:rsidP="0049419D">
            <w:pPr>
              <w:rPr>
                <w:sz w:val="20"/>
                <w:szCs w:val="20"/>
              </w:rPr>
            </w:pPr>
            <w:r w:rsidRPr="0049419D">
              <w:rPr>
                <w:sz w:val="20"/>
                <w:szCs w:val="20"/>
              </w:rPr>
              <w:t xml:space="preserve">Goals: Reflect on the experience, new learning; changes in dispositions and feelings toward ELLs. Discuss the implications of the project for future teaching. Practice critical thinking and inquiry. Promote cultural sensitivity and multicultural awareness. </w:t>
            </w:r>
          </w:p>
        </w:tc>
      </w:tr>
      <w:tr w:rsidR="0049419D" w:rsidRPr="0049419D" w14:paraId="3B835186" w14:textId="77777777" w:rsidTr="0049419D">
        <w:tc>
          <w:tcPr>
            <w:tcW w:w="1435" w:type="dxa"/>
            <w:tcBorders>
              <w:left w:val="nil"/>
              <w:right w:val="nil"/>
            </w:tcBorders>
          </w:tcPr>
          <w:p w14:paraId="74223819" w14:textId="77777777" w:rsidR="0049419D" w:rsidRPr="0049419D" w:rsidRDefault="0049419D" w:rsidP="0049419D">
            <w:pPr>
              <w:jc w:val="center"/>
              <w:rPr>
                <w:sz w:val="20"/>
                <w:szCs w:val="20"/>
              </w:rPr>
            </w:pPr>
            <w:r w:rsidRPr="0049419D">
              <w:rPr>
                <w:sz w:val="20"/>
                <w:szCs w:val="20"/>
              </w:rPr>
              <w:t>Candidates evaluate the project</w:t>
            </w:r>
          </w:p>
        </w:tc>
        <w:tc>
          <w:tcPr>
            <w:tcW w:w="1260" w:type="dxa"/>
            <w:tcBorders>
              <w:left w:val="nil"/>
              <w:right w:val="nil"/>
            </w:tcBorders>
          </w:tcPr>
          <w:p w14:paraId="5FCF0F1E" w14:textId="77777777" w:rsidR="0049419D" w:rsidRPr="0049419D" w:rsidRDefault="0049419D" w:rsidP="0049419D">
            <w:pPr>
              <w:jc w:val="center"/>
              <w:rPr>
                <w:sz w:val="20"/>
                <w:szCs w:val="20"/>
              </w:rPr>
            </w:pPr>
            <w:r w:rsidRPr="0049419D">
              <w:rPr>
                <w:sz w:val="20"/>
                <w:szCs w:val="20"/>
              </w:rPr>
              <w:t>1 week later</w:t>
            </w:r>
          </w:p>
          <w:p w14:paraId="2583CB71" w14:textId="77777777" w:rsidR="0049419D" w:rsidRPr="0049419D" w:rsidRDefault="0049419D" w:rsidP="0049419D">
            <w:pPr>
              <w:jc w:val="center"/>
              <w:rPr>
                <w:sz w:val="20"/>
                <w:szCs w:val="20"/>
              </w:rPr>
            </w:pPr>
            <w:r w:rsidRPr="0049419D">
              <w:rPr>
                <w:sz w:val="20"/>
                <w:szCs w:val="20"/>
              </w:rPr>
              <w:t>About 15 min.</w:t>
            </w:r>
          </w:p>
        </w:tc>
        <w:tc>
          <w:tcPr>
            <w:tcW w:w="6655" w:type="dxa"/>
            <w:tcBorders>
              <w:left w:val="nil"/>
              <w:right w:val="nil"/>
            </w:tcBorders>
          </w:tcPr>
          <w:p w14:paraId="4C2063D9" w14:textId="77777777" w:rsidR="0049419D" w:rsidRPr="0049419D" w:rsidRDefault="0049419D" w:rsidP="0049419D">
            <w:pPr>
              <w:rPr>
                <w:sz w:val="20"/>
                <w:szCs w:val="20"/>
              </w:rPr>
            </w:pPr>
            <w:r w:rsidRPr="0049419D">
              <w:rPr>
                <w:sz w:val="20"/>
                <w:szCs w:val="20"/>
              </w:rPr>
              <w:t>Candidates complete the anonymous survey.</w:t>
            </w:r>
          </w:p>
          <w:p w14:paraId="11A365B5" w14:textId="77777777" w:rsidR="0049419D" w:rsidRPr="0049419D" w:rsidRDefault="0049419D" w:rsidP="0049419D">
            <w:pPr>
              <w:rPr>
                <w:sz w:val="20"/>
                <w:szCs w:val="20"/>
              </w:rPr>
            </w:pPr>
          </w:p>
          <w:p w14:paraId="44819D7B" w14:textId="77777777" w:rsidR="0049419D" w:rsidRPr="0049419D" w:rsidRDefault="0049419D" w:rsidP="0049419D">
            <w:pPr>
              <w:rPr>
                <w:sz w:val="20"/>
                <w:szCs w:val="20"/>
              </w:rPr>
            </w:pPr>
            <w:r w:rsidRPr="0049419D">
              <w:rPr>
                <w:sz w:val="20"/>
                <w:szCs w:val="20"/>
              </w:rPr>
              <w:t>Goals: Obtain feedback about strengths and weaknesses of the project. Obtain additional comments, suggestions, ideas, conclusions about new learning, and any other changes caused by the project.</w:t>
            </w:r>
          </w:p>
        </w:tc>
      </w:tr>
    </w:tbl>
    <w:p w14:paraId="37DB535A" w14:textId="77777777" w:rsidR="0049419D" w:rsidRDefault="0049419D" w:rsidP="00DA4852">
      <w:pPr>
        <w:spacing w:line="480" w:lineRule="auto"/>
        <w:jc w:val="center"/>
        <w:rPr>
          <w:b/>
        </w:rPr>
      </w:pPr>
    </w:p>
    <w:p w14:paraId="74197D15" w14:textId="77777777" w:rsidR="00A200E9" w:rsidRDefault="00A200E9" w:rsidP="004C0E40">
      <w:pPr>
        <w:tabs>
          <w:tab w:val="left" w:pos="5870"/>
        </w:tabs>
      </w:pPr>
    </w:p>
    <w:p w14:paraId="10E08338" w14:textId="77777777" w:rsidR="00D1450F" w:rsidRDefault="00D1450F" w:rsidP="004C0E40">
      <w:pPr>
        <w:tabs>
          <w:tab w:val="left" w:pos="5870"/>
        </w:tabs>
      </w:pPr>
    </w:p>
    <w:p w14:paraId="1016C719" w14:textId="77777777" w:rsidR="00D1450F" w:rsidRDefault="00D1450F" w:rsidP="004C0E40">
      <w:pPr>
        <w:tabs>
          <w:tab w:val="left" w:pos="5870"/>
        </w:tabs>
      </w:pPr>
    </w:p>
    <w:p w14:paraId="54E0D60F" w14:textId="77777777" w:rsidR="00D1450F" w:rsidRDefault="00D1450F" w:rsidP="004C0E40">
      <w:pPr>
        <w:tabs>
          <w:tab w:val="left" w:pos="5870"/>
        </w:tabs>
      </w:pPr>
    </w:p>
    <w:p w14:paraId="5080DE55" w14:textId="77777777" w:rsidR="00D1450F" w:rsidRDefault="00D1450F" w:rsidP="004C0E40">
      <w:pPr>
        <w:tabs>
          <w:tab w:val="left" w:pos="5870"/>
        </w:tabs>
      </w:pPr>
    </w:p>
    <w:p w14:paraId="7ADE3765" w14:textId="77777777" w:rsidR="00D1450F" w:rsidRDefault="00D1450F" w:rsidP="004C0E40">
      <w:pPr>
        <w:tabs>
          <w:tab w:val="left" w:pos="5870"/>
        </w:tabs>
      </w:pPr>
    </w:p>
    <w:p w14:paraId="3A0019B3" w14:textId="77777777" w:rsidR="00D1450F" w:rsidRDefault="00D1450F" w:rsidP="004C0E40">
      <w:pPr>
        <w:tabs>
          <w:tab w:val="left" w:pos="5870"/>
        </w:tabs>
      </w:pPr>
    </w:p>
    <w:p w14:paraId="30E6B32F" w14:textId="77777777" w:rsidR="00D1450F" w:rsidRDefault="00D1450F" w:rsidP="004C0E40">
      <w:pPr>
        <w:tabs>
          <w:tab w:val="left" w:pos="5870"/>
        </w:tabs>
      </w:pPr>
    </w:p>
    <w:p w14:paraId="1D74CCAC" w14:textId="77777777" w:rsidR="00D1450F" w:rsidRDefault="00D1450F" w:rsidP="004C0E40">
      <w:pPr>
        <w:tabs>
          <w:tab w:val="left" w:pos="5870"/>
        </w:tabs>
      </w:pPr>
    </w:p>
    <w:p w14:paraId="24DC979C" w14:textId="77777777" w:rsidR="00D1450F" w:rsidRDefault="00D1450F" w:rsidP="004C0E40">
      <w:pPr>
        <w:tabs>
          <w:tab w:val="left" w:pos="5870"/>
        </w:tabs>
      </w:pPr>
    </w:p>
    <w:p w14:paraId="3DB10D32" w14:textId="77777777" w:rsidR="00D1450F" w:rsidRDefault="00D1450F" w:rsidP="004C0E40">
      <w:pPr>
        <w:tabs>
          <w:tab w:val="left" w:pos="5870"/>
        </w:tabs>
      </w:pPr>
    </w:p>
    <w:p w14:paraId="4C54029E" w14:textId="77777777" w:rsidR="00D1450F" w:rsidRDefault="00D1450F" w:rsidP="004C0E40">
      <w:pPr>
        <w:tabs>
          <w:tab w:val="left" w:pos="5870"/>
        </w:tabs>
      </w:pPr>
    </w:p>
    <w:p w14:paraId="4DF53DDD" w14:textId="77777777" w:rsidR="00D1450F" w:rsidRDefault="00D1450F" w:rsidP="004C0E40">
      <w:pPr>
        <w:tabs>
          <w:tab w:val="left" w:pos="5870"/>
        </w:tabs>
      </w:pPr>
    </w:p>
    <w:p w14:paraId="545338A7" w14:textId="77777777" w:rsidR="00D1450F" w:rsidRDefault="00D1450F" w:rsidP="004C0E40">
      <w:pPr>
        <w:tabs>
          <w:tab w:val="left" w:pos="5870"/>
        </w:tabs>
      </w:pPr>
    </w:p>
    <w:p w14:paraId="17B131B1" w14:textId="77777777" w:rsidR="00D1450F" w:rsidRDefault="00D1450F" w:rsidP="004C0E40">
      <w:pPr>
        <w:tabs>
          <w:tab w:val="left" w:pos="5870"/>
        </w:tabs>
      </w:pPr>
    </w:p>
    <w:p w14:paraId="03CC10AC" w14:textId="77777777" w:rsidR="00D1450F" w:rsidRDefault="00D1450F" w:rsidP="004C0E40">
      <w:pPr>
        <w:tabs>
          <w:tab w:val="left" w:pos="5870"/>
        </w:tabs>
      </w:pPr>
    </w:p>
    <w:p w14:paraId="46A840E5" w14:textId="77777777" w:rsidR="000F42BC" w:rsidRDefault="000F42BC" w:rsidP="004C0E40">
      <w:pPr>
        <w:tabs>
          <w:tab w:val="left" w:pos="5870"/>
        </w:tabs>
      </w:pPr>
    </w:p>
    <w:p w14:paraId="3FCE63B0" w14:textId="77777777" w:rsidR="000F42BC" w:rsidRDefault="000F42BC" w:rsidP="004C0E40">
      <w:pPr>
        <w:tabs>
          <w:tab w:val="left" w:pos="5870"/>
        </w:tabs>
      </w:pPr>
    </w:p>
    <w:p w14:paraId="6BD33040" w14:textId="77777777" w:rsidR="000F42BC" w:rsidRDefault="000F42BC" w:rsidP="004C0E40">
      <w:pPr>
        <w:tabs>
          <w:tab w:val="left" w:pos="5870"/>
        </w:tabs>
      </w:pPr>
    </w:p>
    <w:p w14:paraId="1FEEF4DF" w14:textId="77777777" w:rsidR="000F42BC" w:rsidRPr="000F42BC" w:rsidRDefault="000F42BC" w:rsidP="000F42BC">
      <w:pPr>
        <w:spacing w:line="480" w:lineRule="auto"/>
        <w:jc w:val="center"/>
        <w:rPr>
          <w:b/>
          <w:color w:val="000000"/>
        </w:rPr>
      </w:pPr>
      <w:bookmarkStart w:id="7" w:name="_Hlk6425647"/>
      <w:r w:rsidRPr="000F42BC">
        <w:rPr>
          <w:b/>
          <w:color w:val="000000"/>
        </w:rPr>
        <w:t>Immersed, Embedded, and Connected: Opportunities for Early Field Experiences</w:t>
      </w:r>
    </w:p>
    <w:p w14:paraId="2D34DEF6" w14:textId="77777777" w:rsidR="000F42BC" w:rsidRPr="000F42BC" w:rsidRDefault="000F42BC" w:rsidP="000F42BC">
      <w:pPr>
        <w:spacing w:after="160" w:line="256" w:lineRule="auto"/>
        <w:jc w:val="center"/>
        <w:rPr>
          <w:rFonts w:eastAsia="Calibri"/>
          <w:i/>
        </w:rPr>
      </w:pPr>
      <w:r w:rsidRPr="000F42BC">
        <w:rPr>
          <w:rFonts w:eastAsia="Calibri"/>
          <w:i/>
        </w:rPr>
        <w:t>Terri Jongekrijg and Robert Wiggins</w:t>
      </w:r>
    </w:p>
    <w:bookmarkEnd w:id="7"/>
    <w:p w14:paraId="605A55F0" w14:textId="77777777" w:rsidR="000F42BC" w:rsidRPr="000F42BC" w:rsidRDefault="000F42BC" w:rsidP="000F42BC">
      <w:pPr>
        <w:spacing w:after="160" w:line="256" w:lineRule="auto"/>
        <w:jc w:val="center"/>
        <w:rPr>
          <w:rFonts w:eastAsia="Calibri"/>
          <w:i/>
        </w:rPr>
      </w:pPr>
      <w:r w:rsidRPr="000F42BC">
        <w:rPr>
          <w:rFonts w:eastAsia="Calibri"/>
          <w:i/>
        </w:rPr>
        <w:t>Oakland University</w:t>
      </w:r>
    </w:p>
    <w:p w14:paraId="049FB879" w14:textId="77777777" w:rsidR="000F42BC" w:rsidRPr="000F42BC" w:rsidRDefault="000F42BC" w:rsidP="000F42BC">
      <w:pPr>
        <w:spacing w:line="480" w:lineRule="auto"/>
        <w:jc w:val="center"/>
      </w:pPr>
    </w:p>
    <w:p w14:paraId="7E74BD17" w14:textId="77777777" w:rsidR="000F42BC" w:rsidRPr="000F42BC" w:rsidRDefault="000F42BC" w:rsidP="000F42BC">
      <w:pPr>
        <w:spacing w:line="480" w:lineRule="auto"/>
        <w:jc w:val="center"/>
      </w:pPr>
      <w:r w:rsidRPr="000F42BC">
        <w:rPr>
          <w:b/>
          <w:color w:val="000000"/>
        </w:rPr>
        <w:t>Abstract</w:t>
      </w:r>
    </w:p>
    <w:p w14:paraId="5F8711F7" w14:textId="77777777" w:rsidR="000F42BC" w:rsidRPr="000F42BC" w:rsidRDefault="000F42BC" w:rsidP="000F42BC">
      <w:pPr>
        <w:spacing w:line="480" w:lineRule="auto"/>
      </w:pPr>
      <w:r w:rsidRPr="000F42BC">
        <w:rPr>
          <w:color w:val="000000"/>
        </w:rPr>
        <w:t xml:space="preserve">It is commonly accepted that the culminating student teaching experience is not sufficient and that students also need early field placements to fully prepare them for the final internship. </w:t>
      </w:r>
      <w:r w:rsidR="005A0EB8">
        <w:rPr>
          <w:color w:val="000000"/>
        </w:rPr>
        <w:t xml:space="preserve"> </w:t>
      </w:r>
      <w:r w:rsidRPr="000F42BC">
        <w:rPr>
          <w:color w:val="000000"/>
        </w:rPr>
        <w:t xml:space="preserve">One important </w:t>
      </w:r>
      <w:bookmarkStart w:id="8" w:name="_Hlk8027458"/>
      <w:r w:rsidRPr="000F42BC">
        <w:rPr>
          <w:color w:val="000000"/>
        </w:rPr>
        <w:t xml:space="preserve">goal of these early field experiences is to link university knowledge and learning to the authentic practice of school classroom teaching and learning </w:t>
      </w:r>
      <w:bookmarkEnd w:id="8"/>
      <w:r w:rsidRPr="000F42BC">
        <w:rPr>
          <w:color w:val="000000"/>
        </w:rPr>
        <w:t xml:space="preserve">[Darling-Hammond, 2010a; National Council for Accreditation of Teacher Education (NCATE), 2010; </w:t>
      </w:r>
      <w:proofErr w:type="spellStart"/>
      <w:r w:rsidRPr="000F42BC">
        <w:rPr>
          <w:color w:val="000000"/>
        </w:rPr>
        <w:t>Ohana</w:t>
      </w:r>
      <w:proofErr w:type="spellEnd"/>
      <w:r w:rsidRPr="000F42BC">
        <w:rPr>
          <w:color w:val="000000"/>
        </w:rPr>
        <w:t xml:space="preserve">, 2004]. However, the problems associated with the traditional placement process are myriad. Consequently, many early field placements are not only less than ideal, and the impact of these early fields on pre-service teachers’ development is not clear. </w:t>
      </w:r>
      <w:r w:rsidR="005A0EB8">
        <w:rPr>
          <w:color w:val="000000"/>
        </w:rPr>
        <w:t xml:space="preserve"> </w:t>
      </w:r>
      <w:r w:rsidRPr="000F42BC">
        <w:rPr>
          <w:color w:val="000000"/>
        </w:rPr>
        <w:t xml:space="preserve">This paper concerns one university’s attempt to address some of these problems by offering an alternative early field experience that connects to two required courses and immerses elementary level teacher candidates in a local </w:t>
      </w:r>
      <w:r w:rsidR="005912F4" w:rsidRPr="000F42BC">
        <w:rPr>
          <w:color w:val="000000"/>
        </w:rPr>
        <w:t>public-school</w:t>
      </w:r>
      <w:r w:rsidRPr="000F42BC">
        <w:rPr>
          <w:color w:val="000000"/>
        </w:rPr>
        <w:t xml:space="preserve"> experience where they put content into practice and also become immersed in the community. </w:t>
      </w:r>
    </w:p>
    <w:p w14:paraId="5BC91F40" w14:textId="77777777" w:rsidR="000F42BC" w:rsidRPr="000F42BC" w:rsidRDefault="000F42BC" w:rsidP="000F42BC">
      <w:pPr>
        <w:spacing w:line="480" w:lineRule="auto"/>
        <w:jc w:val="both"/>
      </w:pPr>
      <w:r w:rsidRPr="000F42BC">
        <w:rPr>
          <w:b/>
          <w:color w:val="000000"/>
        </w:rPr>
        <w:t>Keywords:</w:t>
      </w:r>
      <w:r w:rsidRPr="000F42BC">
        <w:rPr>
          <w:color w:val="000000"/>
        </w:rPr>
        <w:t xml:space="preserve"> teacher education, field experiences, authentic learning</w:t>
      </w:r>
    </w:p>
    <w:p w14:paraId="4DC0B104" w14:textId="77777777" w:rsidR="000F42BC" w:rsidRPr="000F42BC" w:rsidRDefault="000F42BC" w:rsidP="000F42BC">
      <w:pPr>
        <w:spacing w:line="480" w:lineRule="auto"/>
        <w:jc w:val="both"/>
      </w:pPr>
    </w:p>
    <w:p w14:paraId="7453CD54" w14:textId="77777777" w:rsidR="000F42BC" w:rsidRPr="000F42BC" w:rsidRDefault="000F42BC" w:rsidP="000F42BC">
      <w:pPr>
        <w:spacing w:line="480" w:lineRule="auto"/>
        <w:jc w:val="both"/>
      </w:pPr>
    </w:p>
    <w:p w14:paraId="4DF8F86A" w14:textId="77777777" w:rsidR="000F42BC" w:rsidRPr="000F42BC" w:rsidRDefault="000F42BC" w:rsidP="000F42BC">
      <w:pPr>
        <w:spacing w:line="480" w:lineRule="auto"/>
        <w:jc w:val="both"/>
      </w:pPr>
    </w:p>
    <w:p w14:paraId="635EDFBC" w14:textId="77777777" w:rsidR="000F42BC" w:rsidRPr="000F42BC" w:rsidRDefault="000F42BC" w:rsidP="000F42BC">
      <w:pPr>
        <w:spacing w:line="480" w:lineRule="auto"/>
        <w:jc w:val="both"/>
      </w:pPr>
    </w:p>
    <w:p w14:paraId="49BA1859" w14:textId="77777777" w:rsidR="000F42BC" w:rsidRPr="000F42BC" w:rsidRDefault="000F42BC" w:rsidP="000F42BC">
      <w:pPr>
        <w:spacing w:line="480" w:lineRule="auto"/>
        <w:jc w:val="both"/>
      </w:pPr>
    </w:p>
    <w:p w14:paraId="0344DB23" w14:textId="77777777" w:rsidR="000F42BC" w:rsidRPr="000F42BC" w:rsidRDefault="000F42BC" w:rsidP="000F42BC">
      <w:pPr>
        <w:spacing w:line="480" w:lineRule="auto"/>
        <w:jc w:val="both"/>
      </w:pPr>
    </w:p>
    <w:p w14:paraId="0397882A" w14:textId="77777777" w:rsidR="000F42BC" w:rsidRPr="000F42BC" w:rsidRDefault="000F42BC" w:rsidP="000F42BC">
      <w:pPr>
        <w:spacing w:line="480" w:lineRule="auto"/>
        <w:jc w:val="center"/>
        <w:rPr>
          <w:b/>
        </w:rPr>
      </w:pPr>
      <w:r w:rsidRPr="000F42BC">
        <w:rPr>
          <w:b/>
        </w:rPr>
        <w:t>Literature Review</w:t>
      </w:r>
    </w:p>
    <w:p w14:paraId="674F5A72" w14:textId="77777777" w:rsidR="000F42BC" w:rsidRPr="000F42BC" w:rsidRDefault="000F42BC" w:rsidP="000F42BC">
      <w:pPr>
        <w:rPr>
          <w:b/>
          <w:color w:val="000000"/>
        </w:rPr>
      </w:pPr>
      <w:r w:rsidRPr="000F42BC">
        <w:rPr>
          <w:b/>
          <w:color w:val="000000"/>
        </w:rPr>
        <w:t>The Purpose of Fields/Problems Associated with Traditional Field Experiences</w:t>
      </w:r>
    </w:p>
    <w:p w14:paraId="6A4DB82B" w14:textId="77777777" w:rsidR="000F42BC" w:rsidRPr="000F42BC" w:rsidRDefault="000F42BC" w:rsidP="000F42BC">
      <w:pPr>
        <w:rPr>
          <w:b/>
          <w:color w:val="000000"/>
        </w:rPr>
      </w:pPr>
    </w:p>
    <w:p w14:paraId="429F48B3" w14:textId="77777777" w:rsidR="000F42BC" w:rsidRPr="000F42BC" w:rsidRDefault="000F42BC" w:rsidP="000F42BC">
      <w:pPr>
        <w:spacing w:line="480" w:lineRule="auto"/>
        <w:ind w:firstLine="720"/>
        <w:rPr>
          <w:color w:val="000000"/>
        </w:rPr>
      </w:pPr>
      <w:r w:rsidRPr="000F42BC">
        <w:t xml:space="preserve">The literature indicates a general agreement that the purpose of field experiences is to link theory and knowledge taught in university classes with real practice in classrooms. </w:t>
      </w:r>
      <w:r w:rsidR="005A0EB8">
        <w:t xml:space="preserve"> </w:t>
      </w:r>
      <w:r w:rsidRPr="000F42BC">
        <w:t xml:space="preserve">Darling-Hammond (2010b) called field experiences the “Achilles heel” of education (p. 8). </w:t>
      </w:r>
      <w:r w:rsidR="005A0EB8">
        <w:t xml:space="preserve"> </w:t>
      </w:r>
      <w:r w:rsidRPr="000F42BC">
        <w:t xml:space="preserve">“Often, the clinical side of teacher education has been fairly haphazard, depending on the idiosyncrasies of loosely selected placements with little guidance about what happens in them and little connection to university work” (Darling Hammond, 2010a, p. 40). </w:t>
      </w:r>
      <w:r w:rsidR="005A0EB8">
        <w:t xml:space="preserve"> </w:t>
      </w:r>
      <w:r w:rsidRPr="000F42BC">
        <w:t>Universities and K-12 schools have historically been viewed as sharing the task of preparing teacher candidates; unfortunately, they often do this separately.</w:t>
      </w:r>
      <w:r w:rsidR="005A0EB8">
        <w:t xml:space="preserve"> </w:t>
      </w:r>
      <w:r w:rsidRPr="000F42BC">
        <w:t xml:space="preserve"> As far back as 1996, </w:t>
      </w:r>
      <w:r w:rsidRPr="000F42BC">
        <w:rPr>
          <w:color w:val="000000"/>
        </w:rPr>
        <w:t xml:space="preserve">Ryan, Toohey, and Hughes described candidates applying knowledge, skills and dispositions learned in college classes to experiences as two separate entities that happen independently and hierarchically. </w:t>
      </w:r>
      <w:r w:rsidR="005A0EB8">
        <w:rPr>
          <w:color w:val="000000"/>
        </w:rPr>
        <w:t xml:space="preserve"> </w:t>
      </w:r>
      <w:r w:rsidRPr="000F42BC">
        <w:rPr>
          <w:color w:val="000000"/>
        </w:rPr>
        <w:t>This is particularly important in the early fields that occur before student teaching and may be because students in beginning foundations courses have little knowledge and understanding about teaching and learning other than what was modeled for them by their own K-12 teachers.</w:t>
      </w:r>
      <w:r w:rsidR="005A0EB8">
        <w:rPr>
          <w:color w:val="000000"/>
        </w:rPr>
        <w:t xml:space="preserve"> </w:t>
      </w:r>
      <w:r w:rsidRPr="000F42BC">
        <w:rPr>
          <w:color w:val="000000"/>
        </w:rPr>
        <w:t xml:space="preserve"> They have little theoretical knowledge of or skills in design, assessment, management, or strategies for diverse learners. When observing teachers or working with pupils in the traditional field experience, students often miss moments that directly relate to course material. Wasburn-Moses, Kopp, and </w:t>
      </w:r>
      <w:proofErr w:type="spellStart"/>
      <w:r w:rsidRPr="000F42BC">
        <w:rPr>
          <w:color w:val="000000"/>
        </w:rPr>
        <w:t>Hettersimer</w:t>
      </w:r>
      <w:proofErr w:type="spellEnd"/>
      <w:r w:rsidRPr="000F42BC">
        <w:rPr>
          <w:color w:val="000000"/>
        </w:rPr>
        <w:t xml:space="preserve"> (2012) note that teacher candidates need guidance from an expert in interpreting experiences to see the “big picture” of teaching and learning. </w:t>
      </w:r>
      <w:r w:rsidR="005A0EB8">
        <w:rPr>
          <w:color w:val="000000"/>
        </w:rPr>
        <w:t xml:space="preserve"> </w:t>
      </w:r>
      <w:r w:rsidRPr="000F42BC">
        <w:rPr>
          <w:color w:val="000000"/>
        </w:rPr>
        <w:t>Candidates’ novice status during these first foundations courses means they need to be given focus, support, opportunities to reflect, and guidance in understanding what they see and do in classrooms.</w:t>
      </w:r>
    </w:p>
    <w:p w14:paraId="73B4D743" w14:textId="77777777" w:rsidR="000F42BC" w:rsidRPr="000F42BC" w:rsidRDefault="000F42BC" w:rsidP="000F42BC">
      <w:pPr>
        <w:spacing w:line="480" w:lineRule="auto"/>
        <w:ind w:firstLine="720"/>
        <w:rPr>
          <w:color w:val="000000"/>
        </w:rPr>
      </w:pPr>
      <w:r w:rsidRPr="000F42BC">
        <w:rPr>
          <w:color w:val="000000"/>
        </w:rPr>
        <w:t>Sutherland et al. (20</w:t>
      </w:r>
      <w:r w:rsidRPr="000F42BC">
        <w:t>10</w:t>
      </w:r>
      <w:r w:rsidRPr="000F42BC">
        <w:rPr>
          <w:color w:val="000000"/>
        </w:rPr>
        <w:t xml:space="preserve">) suggest there is a mismatch between knowledge and understanding of teaching developed in these different contexts. </w:t>
      </w:r>
      <w:r w:rsidR="005A0EB8">
        <w:rPr>
          <w:color w:val="000000"/>
        </w:rPr>
        <w:t xml:space="preserve"> </w:t>
      </w:r>
      <w:r w:rsidRPr="000F42BC">
        <w:rPr>
          <w:color w:val="000000"/>
        </w:rPr>
        <w:t>The disconnect between theory and practice has been continually documented</w:t>
      </w:r>
      <w:r w:rsidRPr="000F42BC">
        <w:rPr>
          <w:color w:val="FFFF00"/>
        </w:rPr>
        <w:t>.</w:t>
      </w:r>
      <w:r w:rsidRPr="000F42BC">
        <w:rPr>
          <w:color w:val="000000"/>
        </w:rPr>
        <w:t xml:space="preserve">(Allsopp, </w:t>
      </w:r>
      <w:proofErr w:type="spellStart"/>
      <w:r w:rsidRPr="000F42BC">
        <w:rPr>
          <w:color w:val="000000"/>
        </w:rPr>
        <w:t>DeMarie</w:t>
      </w:r>
      <w:proofErr w:type="spellEnd"/>
      <w:r w:rsidRPr="000F42BC">
        <w:rPr>
          <w:color w:val="000000"/>
        </w:rPr>
        <w:t>, Alvarez-</w:t>
      </w:r>
      <w:proofErr w:type="spellStart"/>
      <w:r w:rsidRPr="000F42BC">
        <w:rPr>
          <w:color w:val="000000"/>
        </w:rPr>
        <w:t>McHatton</w:t>
      </w:r>
      <w:proofErr w:type="spellEnd"/>
      <w:r w:rsidRPr="000F42BC">
        <w:rPr>
          <w:color w:val="000000"/>
        </w:rPr>
        <w:t xml:space="preserve">, &amp; </w:t>
      </w:r>
      <w:proofErr w:type="spellStart"/>
      <w:r w:rsidRPr="000F42BC">
        <w:rPr>
          <w:color w:val="000000"/>
        </w:rPr>
        <w:t>Doone</w:t>
      </w:r>
      <w:proofErr w:type="spellEnd"/>
      <w:r w:rsidRPr="000F42BC">
        <w:rPr>
          <w:color w:val="000000"/>
        </w:rPr>
        <w:t>, 2006; Bullough,</w:t>
      </w:r>
      <w:r w:rsidRPr="000F42BC">
        <w:t xml:space="preserve"> </w:t>
      </w:r>
      <w:proofErr w:type="spellStart"/>
      <w:r w:rsidRPr="000F42BC">
        <w:rPr>
          <w:color w:val="000000"/>
        </w:rPr>
        <w:t>Birrell</w:t>
      </w:r>
      <w:proofErr w:type="spellEnd"/>
      <w:r w:rsidRPr="000F42BC">
        <w:rPr>
          <w:color w:val="000000"/>
        </w:rPr>
        <w:t xml:space="preserve">, Young, Clark, &amp; Erikson, 1997; Bullough et al., 1999; Darling-Hammond, 2010a; Erdman, 1983; Wasburn-Moses et al., 2012; </w:t>
      </w:r>
      <w:proofErr w:type="spellStart"/>
      <w:r w:rsidRPr="000F42BC">
        <w:rPr>
          <w:color w:val="000000"/>
        </w:rPr>
        <w:t>Zeichner</w:t>
      </w:r>
      <w:proofErr w:type="spellEnd"/>
      <w:r w:rsidRPr="000F42BC">
        <w:rPr>
          <w:color w:val="000000"/>
        </w:rPr>
        <w:t xml:space="preserve">, 2010). </w:t>
      </w:r>
      <w:r w:rsidR="005A0EB8">
        <w:rPr>
          <w:color w:val="000000"/>
        </w:rPr>
        <w:t xml:space="preserve"> </w:t>
      </w:r>
      <w:r w:rsidRPr="000F42BC">
        <w:rPr>
          <w:color w:val="000000"/>
        </w:rPr>
        <w:t xml:space="preserve">Another issue is that a traditional field experience is typically accomplished by students attending a couple of hours at a time. </w:t>
      </w:r>
      <w:r w:rsidR="005A0EB8">
        <w:rPr>
          <w:color w:val="000000"/>
        </w:rPr>
        <w:t xml:space="preserve"> </w:t>
      </w:r>
      <w:r w:rsidRPr="000F42BC">
        <w:rPr>
          <w:color w:val="000000"/>
        </w:rPr>
        <w:t>This precludes getting to know children well, knowing support staff, seeing different subjects and methods, and observing any continuity on how teaching/learning happens, how community/relationships are built, and how classrooms are run.</w:t>
      </w:r>
    </w:p>
    <w:p w14:paraId="7BB3162E" w14:textId="77777777" w:rsidR="000F42BC" w:rsidRPr="000F42BC" w:rsidRDefault="000F42BC" w:rsidP="000F42BC">
      <w:pPr>
        <w:spacing w:line="480" w:lineRule="auto"/>
        <w:ind w:firstLine="720"/>
        <w:rPr>
          <w:color w:val="000000"/>
        </w:rPr>
      </w:pPr>
      <w:r w:rsidRPr="000F42BC">
        <w:rPr>
          <w:color w:val="000000"/>
        </w:rPr>
        <w:t xml:space="preserve">Students come to university classes with questions about what they have seen and done in field experiences. </w:t>
      </w:r>
      <w:r w:rsidR="005A0EB8">
        <w:rPr>
          <w:color w:val="000000"/>
        </w:rPr>
        <w:t xml:space="preserve"> </w:t>
      </w:r>
      <w:r w:rsidRPr="000F42BC">
        <w:rPr>
          <w:color w:val="000000"/>
        </w:rPr>
        <w:t>Professors may be reluctant to discuss these questions for a variety of reasons.</w:t>
      </w:r>
      <w:r w:rsidR="005A0EB8">
        <w:rPr>
          <w:color w:val="000000"/>
        </w:rPr>
        <w:t xml:space="preserve">   </w:t>
      </w:r>
      <w:r w:rsidRPr="000F42BC">
        <w:rPr>
          <w:color w:val="000000"/>
        </w:rPr>
        <w:t xml:space="preserve">There is also a risk that students may misinterpret/misrepresent what they saw to the instructors. Additionally, a question may not be answered because it does not relate to the specific course content. </w:t>
      </w:r>
      <w:r w:rsidR="005A0EB8">
        <w:rPr>
          <w:color w:val="000000"/>
        </w:rPr>
        <w:t xml:space="preserve"> </w:t>
      </w:r>
      <w:r w:rsidRPr="000F42BC">
        <w:rPr>
          <w:color w:val="000000"/>
        </w:rPr>
        <w:t>These factors can lead to a disconnect between what students learned in class and what they saw in fields (Allsopp et al., 2006).</w:t>
      </w:r>
      <w:r w:rsidRPr="000F42BC">
        <w:t xml:space="preserve"> </w:t>
      </w:r>
      <w:r w:rsidR="005A0EB8">
        <w:t xml:space="preserve"> </w:t>
      </w:r>
      <w:r w:rsidRPr="000F42BC">
        <w:rPr>
          <w:color w:val="000000"/>
        </w:rPr>
        <w:t>Connecting course learning with field practice must be an intentional, planned, and supported effort on the part of instructors.</w:t>
      </w:r>
    </w:p>
    <w:p w14:paraId="2066D1D5" w14:textId="77777777" w:rsidR="000F42BC" w:rsidRPr="000F42BC" w:rsidRDefault="000F42BC" w:rsidP="000F42BC">
      <w:pPr>
        <w:spacing w:line="480" w:lineRule="auto"/>
        <w:ind w:firstLine="720"/>
        <w:rPr>
          <w:color w:val="000000"/>
        </w:rPr>
      </w:pPr>
      <w:r w:rsidRPr="000F42BC">
        <w:rPr>
          <w:color w:val="000000"/>
        </w:rPr>
        <w:t>Welsh and Schaffer (2017) note studies that suggest improved preparation when faculty both teach courses and are also involved in field experiences.</w:t>
      </w:r>
      <w:r w:rsidR="005A0EB8">
        <w:rPr>
          <w:color w:val="000000"/>
        </w:rPr>
        <w:t xml:space="preserve"> </w:t>
      </w:r>
      <w:r w:rsidRPr="000F42BC">
        <w:rPr>
          <w:color w:val="000000"/>
        </w:rPr>
        <w:t xml:space="preserve"> Bier et al. (2012) state that pre-service candidates report improved understanding when faculty helped them to make sense of what they saw in schools. </w:t>
      </w:r>
      <w:proofErr w:type="spellStart"/>
      <w:r w:rsidRPr="000F42BC">
        <w:rPr>
          <w:color w:val="000000"/>
        </w:rPr>
        <w:t>Ohana</w:t>
      </w:r>
      <w:proofErr w:type="spellEnd"/>
      <w:r w:rsidRPr="000F42BC">
        <w:rPr>
          <w:color w:val="000000"/>
        </w:rPr>
        <w:t xml:space="preserve"> (2004) also notes that students use each other as experts when interpreting their experiences supporting the constructivist theory component.</w:t>
      </w:r>
    </w:p>
    <w:p w14:paraId="238C9A3E" w14:textId="77777777" w:rsidR="000F42BC" w:rsidRPr="000F42BC" w:rsidRDefault="000F42BC" w:rsidP="000F42BC">
      <w:pPr>
        <w:spacing w:line="480" w:lineRule="auto"/>
        <w:ind w:firstLine="720"/>
      </w:pPr>
      <w:r w:rsidRPr="000F42BC">
        <w:rPr>
          <w:color w:val="000000"/>
        </w:rPr>
        <w:t xml:space="preserve">The problems identified in the literature, as well as the call to integrate knowledge and skill learning with practice, prompted us to design a set of courses taken early in the program based in an immersed school setting. </w:t>
      </w:r>
      <w:r w:rsidR="005A0EB8">
        <w:rPr>
          <w:color w:val="000000"/>
        </w:rPr>
        <w:t xml:space="preserve"> </w:t>
      </w:r>
      <w:r w:rsidRPr="000F42BC">
        <w:rPr>
          <w:color w:val="000000"/>
        </w:rPr>
        <w:t xml:space="preserve">To address the issues in the literature, we created not just an alternative approach to field placement, but a revamp of how we teach these courses. </w:t>
      </w:r>
      <w:r w:rsidR="005A0EB8">
        <w:rPr>
          <w:color w:val="000000"/>
        </w:rPr>
        <w:t xml:space="preserve"> </w:t>
      </w:r>
      <w:r w:rsidRPr="000F42BC">
        <w:rPr>
          <w:color w:val="000000"/>
        </w:rPr>
        <w:t xml:space="preserve">We decided to teach class onsite at a local elementary school in an intensified, short semester and to include the field time as part of the coursework that happens during class meeting times. </w:t>
      </w:r>
    </w:p>
    <w:p w14:paraId="64060966" w14:textId="77777777" w:rsidR="000F42BC" w:rsidRPr="000F42BC" w:rsidRDefault="000F42BC" w:rsidP="00356198">
      <w:pPr>
        <w:jc w:val="center"/>
        <w:rPr>
          <w:b/>
          <w:color w:val="000000"/>
        </w:rPr>
      </w:pPr>
      <w:r w:rsidRPr="000F42BC">
        <w:rPr>
          <w:b/>
          <w:color w:val="000000"/>
        </w:rPr>
        <w:t>Methodology</w:t>
      </w:r>
    </w:p>
    <w:p w14:paraId="56A375D4" w14:textId="77777777" w:rsidR="000F42BC" w:rsidRPr="000F42BC" w:rsidRDefault="000F42BC" w:rsidP="000F42BC"/>
    <w:p w14:paraId="57EC35CF" w14:textId="77777777" w:rsidR="000F42BC" w:rsidRPr="000F42BC" w:rsidRDefault="000F42BC" w:rsidP="000F42BC">
      <w:pPr>
        <w:spacing w:line="480" w:lineRule="auto"/>
        <w:ind w:firstLine="720"/>
      </w:pPr>
      <w:r w:rsidRPr="000F42BC">
        <w:rPr>
          <w:color w:val="000000"/>
        </w:rPr>
        <w:t xml:space="preserve">Our school is a large Midwestern university with an enrollment of approximately 20,000 students. </w:t>
      </w:r>
      <w:r w:rsidR="005A0EB8">
        <w:rPr>
          <w:color w:val="000000"/>
        </w:rPr>
        <w:t xml:space="preserve"> </w:t>
      </w:r>
      <w:r w:rsidRPr="000F42BC">
        <w:rPr>
          <w:color w:val="000000"/>
        </w:rPr>
        <w:t xml:space="preserve">The first semester of the elementary education program consists of foundation courses, followed by three semesters of methods courses and a semester of student teaching. </w:t>
      </w:r>
    </w:p>
    <w:p w14:paraId="1BD92057" w14:textId="77777777" w:rsidR="000F42BC" w:rsidRPr="000F42BC" w:rsidRDefault="000F42BC" w:rsidP="000F42BC">
      <w:pPr>
        <w:spacing w:line="480" w:lineRule="auto"/>
        <w:ind w:firstLine="720"/>
      </w:pPr>
      <w:r w:rsidRPr="000F42BC">
        <w:rPr>
          <w:color w:val="000000"/>
        </w:rPr>
        <w:t xml:space="preserve">Because we were interested in the viability of an alternative approach to field placements, we chose to look at one situation to gain a better understanding of what this field experience might mean to the participants. </w:t>
      </w:r>
      <w:r w:rsidR="005A0EB8">
        <w:rPr>
          <w:color w:val="000000"/>
        </w:rPr>
        <w:t xml:space="preserve"> </w:t>
      </w:r>
      <w:r w:rsidRPr="000F42BC">
        <w:rPr>
          <w:color w:val="000000"/>
        </w:rPr>
        <w:t xml:space="preserve">We were hopeful that an examination of this situation might resonate with and be helpful to others who are attempting to improve the field placement experience. </w:t>
      </w:r>
      <w:r w:rsidR="005A0EB8">
        <w:rPr>
          <w:color w:val="000000"/>
        </w:rPr>
        <w:t xml:space="preserve"> </w:t>
      </w:r>
      <w:r w:rsidRPr="000F42BC">
        <w:rPr>
          <w:color w:val="000000"/>
        </w:rPr>
        <w:t xml:space="preserve">Consequently, we structured this as a qualitative study and gathered data from several different sources over two summer intensive sessions. </w:t>
      </w:r>
      <w:r w:rsidR="005A0EB8">
        <w:rPr>
          <w:color w:val="000000"/>
        </w:rPr>
        <w:t xml:space="preserve"> </w:t>
      </w:r>
      <w:r w:rsidRPr="000F42BC">
        <w:rPr>
          <w:color w:val="000000"/>
        </w:rPr>
        <w:t xml:space="preserve">It is important to note that, since these were five-week summer semesters, most of the students only had these two courses. </w:t>
      </w:r>
      <w:r w:rsidR="005A0EB8">
        <w:rPr>
          <w:color w:val="000000"/>
        </w:rPr>
        <w:t xml:space="preserve"> </w:t>
      </w:r>
      <w:r w:rsidRPr="000F42BC">
        <w:rPr>
          <w:color w:val="000000"/>
        </w:rPr>
        <w:t>We have since implemented this approach in a modified form during the regular semesters.</w:t>
      </w:r>
    </w:p>
    <w:p w14:paraId="73BA70C9" w14:textId="77777777" w:rsidR="000F42BC" w:rsidRPr="000F42BC" w:rsidRDefault="000F42BC" w:rsidP="00356198">
      <w:pPr>
        <w:spacing w:line="480" w:lineRule="auto"/>
        <w:jc w:val="center"/>
      </w:pPr>
      <w:r w:rsidRPr="000F42BC">
        <w:rPr>
          <w:b/>
          <w:color w:val="000000"/>
        </w:rPr>
        <w:t>Context of the Study</w:t>
      </w:r>
    </w:p>
    <w:p w14:paraId="5285BE4A" w14:textId="77777777" w:rsidR="000F42BC" w:rsidRPr="000F42BC" w:rsidRDefault="000F42BC" w:rsidP="000F42BC">
      <w:pPr>
        <w:spacing w:line="480" w:lineRule="auto"/>
        <w:ind w:firstLine="720"/>
      </w:pPr>
      <w:r w:rsidRPr="000F42BC">
        <w:rPr>
          <w:color w:val="000000"/>
        </w:rPr>
        <w:t>The setting was a nearby suburban public elementary school serving grades K-5.</w:t>
      </w:r>
      <w:r w:rsidR="005A0EB8">
        <w:rPr>
          <w:color w:val="000000"/>
        </w:rPr>
        <w:t xml:space="preserve"> </w:t>
      </w:r>
      <w:r w:rsidRPr="000F42BC">
        <w:rPr>
          <w:color w:val="000000"/>
        </w:rPr>
        <w:t xml:space="preserve"> We utilized four classrooms for our field placements--two each at the second and third grade levels. We wanted our students to be immersed in school culture, so we arranged for our university students to spend four weeks in the school from 8:00 am-4:00 pm daily. </w:t>
      </w:r>
      <w:r w:rsidR="005A0EB8">
        <w:rPr>
          <w:color w:val="000000"/>
        </w:rPr>
        <w:t xml:space="preserve"> </w:t>
      </w:r>
      <w:r w:rsidRPr="000F42BC">
        <w:rPr>
          <w:color w:val="000000"/>
        </w:rPr>
        <w:t>In the mornings, we taught Instructional Design and Assessment content, worked with the 2nd-grade classes, and debriefed the experiences.</w:t>
      </w:r>
      <w:r w:rsidR="005A0EB8">
        <w:rPr>
          <w:color w:val="000000"/>
        </w:rPr>
        <w:t xml:space="preserve"> </w:t>
      </w:r>
      <w:r w:rsidRPr="000F42BC">
        <w:rPr>
          <w:color w:val="000000"/>
        </w:rPr>
        <w:t xml:space="preserve"> After lunch, we worked with the 3rd-grade classes, debriefed, and taught the Management and Diversity course content. </w:t>
      </w:r>
    </w:p>
    <w:p w14:paraId="6FE1ECAE" w14:textId="77777777" w:rsidR="000F42BC" w:rsidRPr="000F42BC" w:rsidRDefault="000F42BC" w:rsidP="000F42BC">
      <w:pPr>
        <w:spacing w:line="480" w:lineRule="auto"/>
        <w:ind w:firstLine="720"/>
      </w:pPr>
      <w:r w:rsidRPr="000F42BC">
        <w:rPr>
          <w:color w:val="000000"/>
        </w:rPr>
        <w:t xml:space="preserve">In collaboration with the classroom teachers, it was decided that it would be most valuable if our students had time to observe the experienced teacher and also time to work with small groups of students. </w:t>
      </w:r>
      <w:r w:rsidR="005A0EB8">
        <w:rPr>
          <w:color w:val="000000"/>
        </w:rPr>
        <w:t xml:space="preserve"> </w:t>
      </w:r>
      <w:r w:rsidRPr="000F42BC">
        <w:rPr>
          <w:color w:val="000000"/>
        </w:rPr>
        <w:t xml:space="preserve">The third-grade students were engaged in a language arts/science project in which they were to write informational texts based on computer research. </w:t>
      </w:r>
      <w:r w:rsidR="005A0EB8">
        <w:rPr>
          <w:color w:val="000000"/>
        </w:rPr>
        <w:t xml:space="preserve"> </w:t>
      </w:r>
      <w:r w:rsidRPr="000F42BC">
        <w:rPr>
          <w:color w:val="000000"/>
        </w:rPr>
        <w:t xml:space="preserve">The teacher set up the goal each day, in an approximately 20-minute, teacher-led lesson, and the university students then worked with one to three children to do the task of that day after watching the teacher teach the lesson. </w:t>
      </w:r>
      <w:r w:rsidR="005A0EB8">
        <w:rPr>
          <w:color w:val="000000"/>
        </w:rPr>
        <w:t xml:space="preserve"> </w:t>
      </w:r>
      <w:r w:rsidRPr="000F42BC">
        <w:rPr>
          <w:color w:val="000000"/>
        </w:rPr>
        <w:t xml:space="preserve">The second-grade groups were working in groups of six with two university students on communication projects by creating a skit based on books about leadership habits and then videotaping the performances. </w:t>
      </w:r>
      <w:r w:rsidR="005A0EB8">
        <w:rPr>
          <w:color w:val="000000"/>
        </w:rPr>
        <w:t xml:space="preserve"> </w:t>
      </w:r>
      <w:r w:rsidRPr="000F42BC">
        <w:rPr>
          <w:color w:val="000000"/>
        </w:rPr>
        <w:t>This project gave more leeway to the university students in how they worked with children and progressed with the project.</w:t>
      </w:r>
      <w:r w:rsidR="005A0EB8">
        <w:rPr>
          <w:color w:val="000000"/>
        </w:rPr>
        <w:t xml:space="preserve"> </w:t>
      </w:r>
      <w:r w:rsidRPr="000F42BC">
        <w:rPr>
          <w:color w:val="000000"/>
        </w:rPr>
        <w:t xml:space="preserve"> During field experience sessions, all students attended the same classroom at the same time each day. University instructors also attended the field experiences and made observational notes to use in the debriefing session.</w:t>
      </w:r>
      <w:r w:rsidR="005A0EB8">
        <w:rPr>
          <w:color w:val="000000"/>
        </w:rPr>
        <w:t xml:space="preserve"> </w:t>
      </w:r>
      <w:r w:rsidRPr="000F42BC">
        <w:rPr>
          <w:color w:val="000000"/>
        </w:rPr>
        <w:t xml:space="preserve"> The second immersion session was a larger group of university candidates and, therefore, were sometimes broken into two groups to go to two different classrooms.</w:t>
      </w:r>
      <w:r w:rsidR="005A0EB8">
        <w:rPr>
          <w:color w:val="000000"/>
        </w:rPr>
        <w:t xml:space="preserve"> </w:t>
      </w:r>
      <w:r w:rsidRPr="000F42BC">
        <w:rPr>
          <w:color w:val="000000"/>
        </w:rPr>
        <w:t xml:space="preserve"> In these instances, one instructor went with each group. </w:t>
      </w:r>
    </w:p>
    <w:p w14:paraId="4941BA35" w14:textId="77777777" w:rsidR="000F42BC" w:rsidRPr="000F42BC" w:rsidRDefault="000F42BC" w:rsidP="000F42BC">
      <w:pPr>
        <w:spacing w:line="480" w:lineRule="auto"/>
      </w:pPr>
      <w:r w:rsidRPr="000F42BC">
        <w:rPr>
          <w:color w:val="000000"/>
        </w:rPr>
        <w:t xml:space="preserve">  </w:t>
      </w:r>
      <w:r w:rsidRPr="000F42BC">
        <w:rPr>
          <w:color w:val="000000"/>
        </w:rPr>
        <w:tab/>
        <w:t xml:space="preserve">To make connections to their coursework, the pre-service teachers were given specific focuses for each observation. </w:t>
      </w:r>
      <w:r w:rsidR="005A0EB8">
        <w:rPr>
          <w:color w:val="000000"/>
        </w:rPr>
        <w:t xml:space="preserve"> </w:t>
      </w:r>
      <w:r w:rsidRPr="000F42BC">
        <w:rPr>
          <w:color w:val="000000"/>
        </w:rPr>
        <w:t xml:space="preserve">These included: objectives; formative assessments and how these informed decisions; observations of how teachers managed materials, space, time, and children; observations of students’ behaviors and teachers’ responses and reactions; questioning; and generally, anything they saw related to their coursework. </w:t>
      </w:r>
      <w:r w:rsidR="005A0EB8">
        <w:rPr>
          <w:color w:val="000000"/>
        </w:rPr>
        <w:t xml:space="preserve"> </w:t>
      </w:r>
      <w:r w:rsidRPr="000F42BC">
        <w:rPr>
          <w:color w:val="000000"/>
        </w:rPr>
        <w:t xml:space="preserve">During the debrief sessions, students were asked to discuss the focus items as well as other things they may have noticed or questioned. </w:t>
      </w:r>
      <w:r w:rsidR="005A0EB8">
        <w:rPr>
          <w:color w:val="000000"/>
        </w:rPr>
        <w:t xml:space="preserve"> </w:t>
      </w:r>
      <w:r w:rsidRPr="000F42BC">
        <w:rPr>
          <w:color w:val="000000"/>
        </w:rPr>
        <w:t xml:space="preserve">They also discussed how they had interacted with their students and talked through situations about which they were unclear or wanted input. </w:t>
      </w:r>
      <w:r w:rsidR="005A0EB8">
        <w:rPr>
          <w:color w:val="000000"/>
        </w:rPr>
        <w:t xml:space="preserve"> </w:t>
      </w:r>
      <w:r w:rsidRPr="000F42BC">
        <w:rPr>
          <w:color w:val="000000"/>
        </w:rPr>
        <w:t>Instructors collaboratively discussed these observations with students, facilitated students’ discussions to negotiate   meaning, and offered insights and perhaps even advice in response to students’ questions.</w:t>
      </w:r>
      <w:r w:rsidRPr="000F42BC">
        <w:rPr>
          <w:color w:val="FF9900"/>
        </w:rPr>
        <w:t xml:space="preserve"> </w:t>
      </w:r>
    </w:p>
    <w:p w14:paraId="79916BC7" w14:textId="77777777" w:rsidR="000F42BC" w:rsidRPr="000F42BC" w:rsidRDefault="000F42BC" w:rsidP="00356198">
      <w:pPr>
        <w:spacing w:line="480" w:lineRule="auto"/>
        <w:jc w:val="center"/>
      </w:pPr>
      <w:r w:rsidRPr="000F42BC">
        <w:rPr>
          <w:b/>
          <w:color w:val="000000"/>
        </w:rPr>
        <w:t>Participants</w:t>
      </w:r>
    </w:p>
    <w:p w14:paraId="5AE09A0B" w14:textId="77777777" w:rsidR="000F42BC" w:rsidRPr="000F42BC" w:rsidRDefault="000F42BC" w:rsidP="000F42BC">
      <w:pPr>
        <w:spacing w:line="480" w:lineRule="auto"/>
        <w:ind w:firstLine="720"/>
      </w:pPr>
      <w:r w:rsidRPr="000F42BC">
        <w:rPr>
          <w:color w:val="000000"/>
        </w:rPr>
        <w:t xml:space="preserve">The participants were 34 pre-service elementary teacher candidates enrolled in the two co-requisite foundations courses. </w:t>
      </w:r>
      <w:r w:rsidR="005A0EB8">
        <w:rPr>
          <w:color w:val="000000"/>
        </w:rPr>
        <w:t xml:space="preserve"> </w:t>
      </w:r>
      <w:r w:rsidRPr="000F42BC">
        <w:rPr>
          <w:color w:val="000000"/>
        </w:rPr>
        <w:t xml:space="preserve">Students self-selected to take the immersion format courses in the summer semesters. </w:t>
      </w:r>
      <w:r w:rsidR="005A0EB8">
        <w:rPr>
          <w:color w:val="000000"/>
        </w:rPr>
        <w:t xml:space="preserve"> </w:t>
      </w:r>
      <w:r w:rsidRPr="000F42BC">
        <w:rPr>
          <w:color w:val="000000"/>
        </w:rPr>
        <w:t xml:space="preserve">We collected data over two summers. </w:t>
      </w:r>
      <w:r w:rsidR="005A0EB8">
        <w:rPr>
          <w:color w:val="000000"/>
        </w:rPr>
        <w:t xml:space="preserve"> </w:t>
      </w:r>
      <w:r w:rsidRPr="000F42BC">
        <w:rPr>
          <w:color w:val="000000"/>
        </w:rPr>
        <w:t xml:space="preserve">Thirteen students participated in the first offering. </w:t>
      </w:r>
      <w:r w:rsidR="005A0EB8">
        <w:rPr>
          <w:color w:val="000000"/>
        </w:rPr>
        <w:t xml:space="preserve"> </w:t>
      </w:r>
      <w:r w:rsidRPr="000F42BC">
        <w:rPr>
          <w:color w:val="000000"/>
        </w:rPr>
        <w:t xml:space="preserve">This set of students was all female and of traditional college age. In the second summer offering, 19 female and 2 male students (21 total) of traditional college age participated. </w:t>
      </w:r>
    </w:p>
    <w:p w14:paraId="75826F6F" w14:textId="77777777" w:rsidR="000F42BC" w:rsidRPr="000F42BC" w:rsidRDefault="000F42BC" w:rsidP="00356198">
      <w:pPr>
        <w:spacing w:line="480" w:lineRule="auto"/>
        <w:jc w:val="center"/>
      </w:pPr>
      <w:r w:rsidRPr="000F42BC">
        <w:rPr>
          <w:b/>
          <w:color w:val="000000"/>
        </w:rPr>
        <w:t>Data Collection</w:t>
      </w:r>
    </w:p>
    <w:p w14:paraId="27F9F48E" w14:textId="77777777" w:rsidR="000F42BC" w:rsidRPr="000F42BC" w:rsidRDefault="000F42BC" w:rsidP="000F42BC">
      <w:pPr>
        <w:spacing w:line="480" w:lineRule="auto"/>
        <w:ind w:firstLine="720"/>
        <w:rPr>
          <w:color w:val="000000"/>
        </w:rPr>
      </w:pPr>
      <w:r w:rsidRPr="000F42BC">
        <w:rPr>
          <w:color w:val="000000"/>
        </w:rPr>
        <w:t xml:space="preserve">We used several data sources to gather information. </w:t>
      </w:r>
      <w:r w:rsidR="005A0EB8">
        <w:rPr>
          <w:color w:val="000000"/>
        </w:rPr>
        <w:t xml:space="preserve"> </w:t>
      </w:r>
      <w:r w:rsidRPr="000F42BC">
        <w:rPr>
          <w:color w:val="000000"/>
        </w:rPr>
        <w:t xml:space="preserve">At the end, students engaged in small focus groups which were recorded, transcribed, and analyzed. </w:t>
      </w:r>
      <w:r w:rsidR="005A0EB8">
        <w:rPr>
          <w:color w:val="000000"/>
        </w:rPr>
        <w:t xml:space="preserve"> </w:t>
      </w:r>
      <w:r w:rsidRPr="000F42BC">
        <w:rPr>
          <w:color w:val="000000"/>
        </w:rPr>
        <w:t>The course instructors led the groups and began the discussions with pre-prescribed questions that changed and evolved during each session as the discussions progressed.</w:t>
      </w:r>
      <w:r w:rsidR="005A0EB8">
        <w:rPr>
          <w:color w:val="000000"/>
        </w:rPr>
        <w:t xml:space="preserve">  </w:t>
      </w:r>
      <w:r w:rsidRPr="000F42BC">
        <w:rPr>
          <w:color w:val="000000"/>
        </w:rPr>
        <w:t xml:space="preserve">The four participating classroom teachers were another focus group. </w:t>
      </w:r>
      <w:r w:rsidR="005A0EB8">
        <w:rPr>
          <w:color w:val="000000"/>
        </w:rPr>
        <w:t xml:space="preserve"> </w:t>
      </w:r>
      <w:r w:rsidRPr="000F42BC">
        <w:rPr>
          <w:color w:val="000000"/>
        </w:rPr>
        <w:t xml:space="preserve">We hoped these discussions would serve to triangulate the perceptions of the preservice teachers and possibly provide insight. </w:t>
      </w:r>
      <w:r w:rsidR="005A0EB8">
        <w:rPr>
          <w:color w:val="000000"/>
        </w:rPr>
        <w:t xml:space="preserve"> </w:t>
      </w:r>
      <w:r w:rsidRPr="000F42BC">
        <w:rPr>
          <w:color w:val="000000"/>
        </w:rPr>
        <w:t xml:space="preserve">In addition, we took notes about each observation so that we could discuss the focus with students each time. </w:t>
      </w:r>
      <w:r w:rsidR="005A0EB8">
        <w:rPr>
          <w:color w:val="000000"/>
        </w:rPr>
        <w:t xml:space="preserve"> </w:t>
      </w:r>
      <w:r w:rsidRPr="000F42BC">
        <w:rPr>
          <w:color w:val="000000"/>
        </w:rPr>
        <w:t>These anecdotal notes also became a data source as we were able to find themes to which students returned often.</w:t>
      </w:r>
    </w:p>
    <w:p w14:paraId="3B27AF8C" w14:textId="77777777" w:rsidR="000F42BC" w:rsidRPr="000F42BC" w:rsidRDefault="000F42BC" w:rsidP="00356198">
      <w:pPr>
        <w:spacing w:line="480" w:lineRule="auto"/>
        <w:jc w:val="center"/>
      </w:pPr>
      <w:r w:rsidRPr="000F42BC">
        <w:rPr>
          <w:b/>
          <w:color w:val="000000"/>
        </w:rPr>
        <w:t>Analysis</w:t>
      </w:r>
    </w:p>
    <w:p w14:paraId="7C865E07" w14:textId="77777777" w:rsidR="000F42BC" w:rsidRPr="000F42BC" w:rsidRDefault="000F42BC" w:rsidP="000F42BC">
      <w:pPr>
        <w:spacing w:line="480" w:lineRule="auto"/>
        <w:ind w:firstLine="720"/>
      </w:pPr>
      <w:r w:rsidRPr="000F42BC">
        <w:rPr>
          <w:color w:val="000000"/>
        </w:rPr>
        <w:t xml:space="preserve">Our analysis process was primarily reading and rereading our transcribed data following an open coding process (Strauss &amp; Corbin, 1990). As Maxwell (2005) advises, we began analysis as soon as we had data available and continued throughout the study. </w:t>
      </w:r>
      <w:r w:rsidR="005A0EB8">
        <w:rPr>
          <w:color w:val="000000"/>
        </w:rPr>
        <w:t xml:space="preserve"> </w:t>
      </w:r>
      <w:r w:rsidRPr="000F42BC">
        <w:rPr>
          <w:color w:val="000000"/>
        </w:rPr>
        <w:t xml:space="preserve">We began with the issues surrounding field placements that are identified in the literature and used these as a basis for shaping our analysis (Patton, 1987). </w:t>
      </w:r>
      <w:r w:rsidR="005A0EB8">
        <w:rPr>
          <w:color w:val="000000"/>
        </w:rPr>
        <w:t xml:space="preserve"> </w:t>
      </w:r>
      <w:r w:rsidRPr="000F42BC">
        <w:rPr>
          <w:color w:val="000000"/>
        </w:rPr>
        <w:t xml:space="preserve">Consequently, there was an element of a priori decision making in the process; however, we were careful to look for disconfirming evidence and checked our field notes to confirm our themes. </w:t>
      </w:r>
      <w:r w:rsidR="005A0EB8">
        <w:rPr>
          <w:color w:val="000000"/>
        </w:rPr>
        <w:t xml:space="preserve"> </w:t>
      </w:r>
      <w:r w:rsidRPr="000F42BC">
        <w:rPr>
          <w:color w:val="000000"/>
        </w:rPr>
        <w:t xml:space="preserve">We also engaged member checking (Lincoln and Guba, 1985) by sharing our findings with our students. </w:t>
      </w:r>
      <w:r w:rsidR="005A0EB8">
        <w:rPr>
          <w:color w:val="000000"/>
        </w:rPr>
        <w:t xml:space="preserve"> </w:t>
      </w:r>
      <w:r w:rsidRPr="000F42BC">
        <w:rPr>
          <w:color w:val="000000"/>
        </w:rPr>
        <w:t xml:space="preserve">The participants’ agreement with our findings giving us confidence in the integrity of the process. </w:t>
      </w:r>
    </w:p>
    <w:p w14:paraId="49D24062" w14:textId="77777777" w:rsidR="000F42BC" w:rsidRPr="000F42BC" w:rsidRDefault="000F42BC" w:rsidP="00356198">
      <w:pPr>
        <w:jc w:val="center"/>
      </w:pPr>
      <w:r w:rsidRPr="000F42BC">
        <w:rPr>
          <w:b/>
          <w:color w:val="000000"/>
        </w:rPr>
        <w:t>Discussion of Findings</w:t>
      </w:r>
    </w:p>
    <w:p w14:paraId="21FCC399" w14:textId="77777777" w:rsidR="000F42BC" w:rsidRPr="000F42BC" w:rsidRDefault="000F42BC" w:rsidP="000F42BC"/>
    <w:p w14:paraId="78E88FCF" w14:textId="77777777" w:rsidR="000F42BC" w:rsidRPr="000F42BC" w:rsidRDefault="000F42BC" w:rsidP="000F42BC">
      <w:pPr>
        <w:spacing w:line="480" w:lineRule="auto"/>
        <w:ind w:firstLine="720"/>
      </w:pPr>
      <w:r w:rsidRPr="000F42BC">
        <w:rPr>
          <w:color w:val="000000"/>
        </w:rPr>
        <w:t xml:space="preserve">The first question asked of students in the focus groups was, “Why did you choose to enroll in this summer immersion site-based program?” </w:t>
      </w:r>
      <w:r w:rsidR="005A0EB8">
        <w:rPr>
          <w:color w:val="000000"/>
        </w:rPr>
        <w:t xml:space="preserve"> </w:t>
      </w:r>
      <w:r w:rsidRPr="000F42BC">
        <w:rPr>
          <w:color w:val="000000"/>
        </w:rPr>
        <w:t xml:space="preserve">A typical response given by many was the convenience of accomplishing 8 credits and a 30-hour field experience in 19 days. </w:t>
      </w:r>
      <w:r w:rsidR="005A0EB8">
        <w:rPr>
          <w:color w:val="000000"/>
        </w:rPr>
        <w:t xml:space="preserve"> </w:t>
      </w:r>
      <w:r w:rsidRPr="000F42BC">
        <w:rPr>
          <w:color w:val="000000"/>
        </w:rPr>
        <w:t xml:space="preserve">Almost all students in both groups mentioned that being at school all day for 19 days was much more convenient and less time consuming than a traditional semester. </w:t>
      </w:r>
      <w:r w:rsidR="005A0EB8">
        <w:rPr>
          <w:color w:val="000000"/>
        </w:rPr>
        <w:t xml:space="preserve"> </w:t>
      </w:r>
      <w:r w:rsidRPr="000F42BC">
        <w:rPr>
          <w:color w:val="000000"/>
        </w:rPr>
        <w:t xml:space="preserve">We found it interesting that only a few students mentioned that they really wanted to get a “teacher day” experience. </w:t>
      </w:r>
    </w:p>
    <w:p w14:paraId="0CE1E021" w14:textId="77777777" w:rsidR="000F42BC" w:rsidRPr="000F42BC" w:rsidRDefault="000F42BC" w:rsidP="000F42BC">
      <w:pPr>
        <w:spacing w:line="480" w:lineRule="auto"/>
        <w:ind w:firstLine="720"/>
      </w:pPr>
      <w:r w:rsidRPr="000F42BC">
        <w:rPr>
          <w:color w:val="000000"/>
        </w:rPr>
        <w:t xml:space="preserve">Yet, convenience was not the only motivation. </w:t>
      </w:r>
      <w:r w:rsidR="005A0EB8">
        <w:rPr>
          <w:color w:val="000000"/>
        </w:rPr>
        <w:t xml:space="preserve"> </w:t>
      </w:r>
      <w:r w:rsidRPr="000F42BC">
        <w:rPr>
          <w:color w:val="000000"/>
        </w:rPr>
        <w:t xml:space="preserve">Another clear theme reiterated the problems noted in the literature about traditional field placements. </w:t>
      </w:r>
      <w:r w:rsidR="005A0EB8">
        <w:rPr>
          <w:color w:val="000000"/>
        </w:rPr>
        <w:t xml:space="preserve"> </w:t>
      </w:r>
      <w:r w:rsidRPr="000F42BC">
        <w:rPr>
          <w:color w:val="000000"/>
        </w:rPr>
        <w:t xml:space="preserve">Though some students had what they felt were good experiences in previous placements, several students stated they felt their former fields were about sitting in the back of the room and observing or taking notes or not really doing much. In describing former traditional fields, students made statements like: </w:t>
      </w:r>
    </w:p>
    <w:p w14:paraId="50600311" w14:textId="77777777" w:rsidR="000F42BC" w:rsidRPr="000F42BC" w:rsidRDefault="000F42BC" w:rsidP="00730578">
      <w:pPr>
        <w:numPr>
          <w:ilvl w:val="0"/>
          <w:numId w:val="5"/>
        </w:numPr>
        <w:ind w:right="720"/>
        <w:rPr>
          <w:rFonts w:ascii="Calibri" w:eastAsia="Calibri" w:hAnsi="Calibri" w:cs="Calibri"/>
          <w:color w:val="000000"/>
        </w:rPr>
      </w:pPr>
      <w:r w:rsidRPr="000F42BC">
        <w:rPr>
          <w:color w:val="000000"/>
        </w:rPr>
        <w:t>“You miss a lot in the seven days you’re gone from the classroom, so you feel---more like a stranger every time you enter in there.”</w:t>
      </w:r>
    </w:p>
    <w:p w14:paraId="0E627C0B" w14:textId="77777777" w:rsidR="000F42BC" w:rsidRPr="000F42BC" w:rsidRDefault="000F42BC" w:rsidP="000F42BC"/>
    <w:p w14:paraId="733D75CE" w14:textId="77777777" w:rsidR="000F42BC" w:rsidRPr="000F42BC" w:rsidRDefault="000F42BC" w:rsidP="00730578">
      <w:pPr>
        <w:numPr>
          <w:ilvl w:val="0"/>
          <w:numId w:val="7"/>
        </w:numPr>
        <w:ind w:right="720"/>
        <w:rPr>
          <w:rFonts w:ascii="Calibri" w:eastAsia="Calibri" w:hAnsi="Calibri" w:cs="Calibri"/>
          <w:i/>
          <w:color w:val="000000"/>
        </w:rPr>
      </w:pPr>
      <w:r w:rsidRPr="000F42BC">
        <w:rPr>
          <w:i/>
          <w:color w:val="000000"/>
        </w:rPr>
        <w:t>“</w:t>
      </w:r>
      <w:r w:rsidRPr="000F42BC">
        <w:rPr>
          <w:color w:val="000000"/>
        </w:rPr>
        <w:t>I’m not really doing anything and I’m not there for a reason.</w:t>
      </w:r>
      <w:r w:rsidR="005A0EB8">
        <w:rPr>
          <w:color w:val="000000"/>
        </w:rPr>
        <w:t xml:space="preserve"> </w:t>
      </w:r>
      <w:r w:rsidRPr="000F42BC">
        <w:rPr>
          <w:color w:val="000000"/>
        </w:rPr>
        <w:t xml:space="preserve"> I’m just kind of observing and I’m not learning anything and… sometimes I feel like it’s more of a like oh, my gosh, I’m missing work for this.”</w:t>
      </w:r>
    </w:p>
    <w:p w14:paraId="17DD4870" w14:textId="77777777" w:rsidR="000F42BC" w:rsidRPr="000F42BC" w:rsidRDefault="000F42BC" w:rsidP="000F42BC"/>
    <w:p w14:paraId="1F30BA0B" w14:textId="77777777" w:rsidR="000F42BC" w:rsidRPr="000F42BC" w:rsidRDefault="000F42BC" w:rsidP="000F42BC">
      <w:pPr>
        <w:spacing w:line="480" w:lineRule="auto"/>
      </w:pPr>
      <w:r w:rsidRPr="000F42BC">
        <w:rPr>
          <w:color w:val="000000"/>
        </w:rPr>
        <w:t xml:space="preserve">Six of the 34 students mentioned the word “stranger” for how they felt/their perception of their role in traditional field and two others used the terms “volunteer” or “extra person”. </w:t>
      </w:r>
    </w:p>
    <w:p w14:paraId="2B5E0B2B" w14:textId="77777777" w:rsidR="000F42BC" w:rsidRPr="000F42BC" w:rsidRDefault="000F42BC" w:rsidP="000F42BC">
      <w:pPr>
        <w:spacing w:line="480" w:lineRule="auto"/>
        <w:ind w:firstLine="720"/>
      </w:pPr>
      <w:r w:rsidRPr="000F42BC">
        <w:rPr>
          <w:color w:val="000000"/>
        </w:rPr>
        <w:t xml:space="preserve">As suggested in the literature, many of the students shared that instructors in traditional semesters often did not talk about what was happening in schools. </w:t>
      </w:r>
      <w:r w:rsidR="005A0EB8">
        <w:rPr>
          <w:color w:val="000000"/>
        </w:rPr>
        <w:t xml:space="preserve"> </w:t>
      </w:r>
      <w:r w:rsidRPr="000F42BC">
        <w:rPr>
          <w:color w:val="000000"/>
        </w:rPr>
        <w:t xml:space="preserve">This was actually mentioned by 20% of the participants in the focus groups and the transcripts showed that the comments had both verbal and non-verbal agreement from many others. </w:t>
      </w:r>
      <w:r w:rsidR="005A0EB8">
        <w:rPr>
          <w:color w:val="000000"/>
        </w:rPr>
        <w:t xml:space="preserve"> </w:t>
      </w:r>
      <w:r w:rsidRPr="000F42BC">
        <w:rPr>
          <w:color w:val="000000"/>
        </w:rPr>
        <w:t>Comments that reveal this trend are:</w:t>
      </w:r>
    </w:p>
    <w:p w14:paraId="51DF3BEC" w14:textId="77777777" w:rsidR="000F42BC" w:rsidRPr="000F42BC" w:rsidRDefault="000F42BC" w:rsidP="00730578">
      <w:pPr>
        <w:numPr>
          <w:ilvl w:val="0"/>
          <w:numId w:val="9"/>
        </w:numPr>
        <w:ind w:right="720"/>
        <w:rPr>
          <w:rFonts w:ascii="Calibri" w:eastAsia="Calibri" w:hAnsi="Calibri" w:cs="Calibri"/>
          <w:color w:val="000000"/>
        </w:rPr>
      </w:pPr>
      <w:r w:rsidRPr="000F42BC">
        <w:rPr>
          <w:color w:val="000000"/>
        </w:rPr>
        <w:t xml:space="preserve">“When I’d come back to class with my professor, we did not talk about the experiences at all. </w:t>
      </w:r>
      <w:r w:rsidR="005A0EB8">
        <w:rPr>
          <w:color w:val="000000"/>
        </w:rPr>
        <w:t xml:space="preserve"> </w:t>
      </w:r>
      <w:r w:rsidRPr="000F42BC">
        <w:rPr>
          <w:color w:val="000000"/>
        </w:rPr>
        <w:t>So, we didn’t like get to relate anything we talked about in class to what we’re doing at the schools or anything. “</w:t>
      </w:r>
    </w:p>
    <w:p w14:paraId="7C0ABBA0" w14:textId="77777777" w:rsidR="000F42BC" w:rsidRPr="000F42BC" w:rsidRDefault="000F42BC" w:rsidP="000F42BC"/>
    <w:p w14:paraId="42CCE2BC" w14:textId="77777777" w:rsidR="000F42BC" w:rsidRPr="000F42BC" w:rsidRDefault="000F42BC" w:rsidP="000F42BC">
      <w:r w:rsidRPr="000F42BC">
        <w:rPr>
          <w:color w:val="000000"/>
        </w:rPr>
        <w:t xml:space="preserve">Or they were given assignments to focus on in class, but, </w:t>
      </w:r>
    </w:p>
    <w:p w14:paraId="492318A5" w14:textId="77777777" w:rsidR="000F42BC" w:rsidRPr="000F42BC" w:rsidRDefault="000F42BC" w:rsidP="000F42BC"/>
    <w:p w14:paraId="62753D51" w14:textId="77777777" w:rsidR="000F42BC" w:rsidRPr="000F42BC" w:rsidRDefault="000F42BC" w:rsidP="00730578">
      <w:pPr>
        <w:numPr>
          <w:ilvl w:val="0"/>
          <w:numId w:val="12"/>
        </w:numPr>
        <w:rPr>
          <w:rFonts w:ascii="Calibri" w:eastAsia="Calibri" w:hAnsi="Calibri" w:cs="Calibri"/>
          <w:color w:val="000000"/>
        </w:rPr>
      </w:pPr>
      <w:r w:rsidRPr="000F42BC">
        <w:rPr>
          <w:color w:val="000000"/>
        </w:rPr>
        <w:t xml:space="preserve">“Well, a week later, when I’m in a field placement after I’ve had, you know, six more classes in between there and work and all this other stuff, and I go in my field placement and I’m like, “ok, I’m here. What do I have to do while I’m here?” </w:t>
      </w:r>
      <w:r w:rsidR="005A0EB8">
        <w:rPr>
          <w:color w:val="000000"/>
        </w:rPr>
        <w:t xml:space="preserve"> </w:t>
      </w:r>
      <w:r w:rsidRPr="000F42BC">
        <w:rPr>
          <w:color w:val="000000"/>
        </w:rPr>
        <w:t>I don’t remember the things that we talked about….”</w:t>
      </w:r>
    </w:p>
    <w:p w14:paraId="46BE424A" w14:textId="77777777" w:rsidR="000F42BC" w:rsidRPr="000F42BC" w:rsidRDefault="000F42BC" w:rsidP="000F42BC"/>
    <w:p w14:paraId="0C01E003" w14:textId="77777777" w:rsidR="000F42BC" w:rsidRPr="000F42BC" w:rsidRDefault="000F42BC" w:rsidP="000F42BC">
      <w:pPr>
        <w:spacing w:line="480" w:lineRule="auto"/>
      </w:pPr>
      <w:r w:rsidRPr="000F42BC">
        <w:rPr>
          <w:color w:val="000000"/>
        </w:rPr>
        <w:t>Focus group participants were also asked,</w:t>
      </w:r>
      <w:r w:rsidRPr="000F42BC">
        <w:rPr>
          <w:i/>
          <w:color w:val="000000"/>
        </w:rPr>
        <w:t xml:space="preserve"> </w:t>
      </w:r>
      <w:r w:rsidRPr="000F42BC">
        <w:rPr>
          <w:color w:val="000000"/>
        </w:rPr>
        <w:t xml:space="preserve">“How was this experience different in structure from your previous field experiences?” </w:t>
      </w:r>
      <w:r w:rsidR="005A0EB8">
        <w:rPr>
          <w:color w:val="000000"/>
        </w:rPr>
        <w:t xml:space="preserve"> </w:t>
      </w:r>
      <w:r w:rsidRPr="000F42BC">
        <w:rPr>
          <w:color w:val="000000"/>
        </w:rPr>
        <w:t xml:space="preserve">Responses repeatedly referred to the ability to immediately apply course content to real classroom situations, whether that was in using information and skills working with children or being able to identify concepts and examples of course content in their observations of teachers and teaching. </w:t>
      </w:r>
      <w:r w:rsidR="005A0EB8">
        <w:rPr>
          <w:color w:val="000000"/>
        </w:rPr>
        <w:t xml:space="preserve"> </w:t>
      </w:r>
      <w:r w:rsidRPr="000F42BC">
        <w:rPr>
          <w:color w:val="000000"/>
        </w:rPr>
        <w:t xml:space="preserve">Because students learned new content in the on-site university classes each day, we were able to give specific focuses for each observation. “Real,” “live,” and “directly,” were words students used to describe the immediacy of connections between content and classroom experience. </w:t>
      </w:r>
      <w:r w:rsidR="005A0EB8">
        <w:rPr>
          <w:color w:val="000000"/>
        </w:rPr>
        <w:t xml:space="preserve"> </w:t>
      </w:r>
      <w:r w:rsidRPr="000F42BC">
        <w:rPr>
          <w:color w:val="000000"/>
        </w:rPr>
        <w:t>Representative comments showing this include:</w:t>
      </w:r>
    </w:p>
    <w:p w14:paraId="3EFB7F5F" w14:textId="77777777" w:rsidR="000F42BC" w:rsidRPr="000F42BC" w:rsidRDefault="000F42BC" w:rsidP="00730578">
      <w:pPr>
        <w:numPr>
          <w:ilvl w:val="0"/>
          <w:numId w:val="14"/>
        </w:numPr>
        <w:ind w:right="720"/>
        <w:rPr>
          <w:rFonts w:ascii="Calibri" w:eastAsia="Calibri" w:hAnsi="Calibri" w:cs="Calibri"/>
          <w:color w:val="000000"/>
        </w:rPr>
      </w:pPr>
      <w:r w:rsidRPr="000F42BC">
        <w:rPr>
          <w:color w:val="000000"/>
        </w:rPr>
        <w:t>“You learn something in class and then you see what you learned, like right then and there.</w:t>
      </w:r>
      <w:r w:rsidR="005A0EB8">
        <w:rPr>
          <w:color w:val="000000"/>
        </w:rPr>
        <w:t xml:space="preserve"> </w:t>
      </w:r>
      <w:r w:rsidRPr="000F42BC">
        <w:rPr>
          <w:color w:val="000000"/>
        </w:rPr>
        <w:t xml:space="preserve"> Like right after.</w:t>
      </w:r>
      <w:r w:rsidR="005A0EB8">
        <w:rPr>
          <w:color w:val="000000"/>
        </w:rPr>
        <w:t xml:space="preserve"> </w:t>
      </w:r>
      <w:r w:rsidRPr="000F42BC">
        <w:rPr>
          <w:color w:val="000000"/>
        </w:rPr>
        <w:t xml:space="preserve"> And then you come back and debrief on it; it was just cool to see it, like, live basically.”</w:t>
      </w:r>
    </w:p>
    <w:p w14:paraId="515246C3" w14:textId="77777777" w:rsidR="000F42BC" w:rsidRPr="000F42BC" w:rsidRDefault="000F42BC" w:rsidP="000F42BC"/>
    <w:p w14:paraId="5C718C37" w14:textId="77777777" w:rsidR="000F42BC" w:rsidRPr="000F42BC" w:rsidRDefault="000F42BC" w:rsidP="00730578">
      <w:pPr>
        <w:numPr>
          <w:ilvl w:val="0"/>
          <w:numId w:val="16"/>
        </w:numPr>
        <w:ind w:right="720"/>
        <w:rPr>
          <w:rFonts w:ascii="Calibri" w:eastAsia="Calibri" w:hAnsi="Calibri" w:cs="Calibri"/>
          <w:color w:val="000000"/>
        </w:rPr>
      </w:pPr>
      <w:r w:rsidRPr="000F42BC">
        <w:rPr>
          <w:color w:val="000000"/>
        </w:rPr>
        <w:t xml:space="preserve">“We are going to have instruction, a lecture, and then we were going to walk to a class and it’s right next door… and you’re even looking for it [the focus] in that case.” </w:t>
      </w:r>
    </w:p>
    <w:p w14:paraId="0B1D10F8" w14:textId="77777777" w:rsidR="000F42BC" w:rsidRPr="000F42BC" w:rsidRDefault="000F42BC" w:rsidP="000F42BC"/>
    <w:p w14:paraId="7520BEA6" w14:textId="77777777" w:rsidR="000F42BC" w:rsidRPr="000F42BC" w:rsidRDefault="000F42BC" w:rsidP="00730578">
      <w:pPr>
        <w:numPr>
          <w:ilvl w:val="0"/>
          <w:numId w:val="18"/>
        </w:numPr>
        <w:ind w:right="720"/>
        <w:rPr>
          <w:rFonts w:ascii="Calibri" w:eastAsia="Calibri" w:hAnsi="Calibri" w:cs="Calibri"/>
          <w:color w:val="000000"/>
        </w:rPr>
      </w:pPr>
      <w:r w:rsidRPr="000F42BC">
        <w:rPr>
          <w:color w:val="000000"/>
        </w:rPr>
        <w:t>“There’s ideas and concepts that have been brought up that I never really thought existed in the schools.., but now being immersed... you get a bigger view of everything.”</w:t>
      </w:r>
    </w:p>
    <w:p w14:paraId="043EEE3B" w14:textId="77777777" w:rsidR="000F42BC" w:rsidRPr="000F42BC" w:rsidRDefault="000F42BC" w:rsidP="000F42BC"/>
    <w:p w14:paraId="7D45EDB9" w14:textId="77777777" w:rsidR="000F42BC" w:rsidRPr="000F42BC" w:rsidRDefault="000F42BC" w:rsidP="00730578">
      <w:pPr>
        <w:numPr>
          <w:ilvl w:val="0"/>
          <w:numId w:val="2"/>
        </w:numPr>
        <w:pBdr>
          <w:top w:val="nil"/>
          <w:left w:val="nil"/>
          <w:bottom w:val="nil"/>
          <w:right w:val="nil"/>
          <w:between w:val="nil"/>
        </w:pBdr>
        <w:rPr>
          <w:rFonts w:ascii="Calibri" w:eastAsia="Calibri" w:hAnsi="Calibri" w:cs="Calibri"/>
          <w:color w:val="000000"/>
        </w:rPr>
      </w:pPr>
      <w:r w:rsidRPr="000F42BC">
        <w:rPr>
          <w:color w:val="000000"/>
        </w:rPr>
        <w:t>“…when you see it in person, you can finally see exactly what you’re talking about and why we talked about it and why we have to learn it.”</w:t>
      </w:r>
    </w:p>
    <w:p w14:paraId="7EBDDD6C" w14:textId="77777777" w:rsidR="000F42BC" w:rsidRPr="000F42BC" w:rsidRDefault="000F42BC" w:rsidP="000F42BC">
      <w:pPr>
        <w:pBdr>
          <w:top w:val="nil"/>
          <w:left w:val="nil"/>
          <w:bottom w:val="nil"/>
          <w:right w:val="nil"/>
          <w:between w:val="nil"/>
        </w:pBdr>
        <w:ind w:hanging="720"/>
        <w:rPr>
          <w:color w:val="000000"/>
        </w:rPr>
      </w:pPr>
    </w:p>
    <w:p w14:paraId="54E464F4" w14:textId="77777777" w:rsidR="000F42BC" w:rsidRPr="000F42BC" w:rsidRDefault="000F42BC" w:rsidP="000F42BC">
      <w:pPr>
        <w:spacing w:line="480" w:lineRule="auto"/>
      </w:pPr>
      <w:r w:rsidRPr="000F42BC">
        <w:rPr>
          <w:color w:val="000000"/>
        </w:rPr>
        <w:t xml:space="preserve">In response to the question, “Are you more reflective now [at the end of the experience]?”, almost all students in all focus groups mentioned the opportunities to debrief and reflect on the experiences immediately after having engaged in them as a very positive aspect of the format. </w:t>
      </w:r>
      <w:r w:rsidR="00525BEA">
        <w:rPr>
          <w:color w:val="000000"/>
        </w:rPr>
        <w:t xml:space="preserve"> </w:t>
      </w:r>
      <w:r w:rsidRPr="000F42BC">
        <w:rPr>
          <w:color w:val="000000"/>
        </w:rPr>
        <w:t xml:space="preserve">In each focus group, the students made comments that suggested that this is where much of their actual understanding happened. </w:t>
      </w:r>
      <w:r w:rsidR="00525BEA">
        <w:rPr>
          <w:color w:val="000000"/>
        </w:rPr>
        <w:t xml:space="preserve"> </w:t>
      </w:r>
      <w:r w:rsidRPr="000F42BC">
        <w:rPr>
          <w:color w:val="000000"/>
        </w:rPr>
        <w:t xml:space="preserve">There were many responses to show this, for example: </w:t>
      </w:r>
    </w:p>
    <w:p w14:paraId="5901D40F" w14:textId="77777777" w:rsidR="000F42BC" w:rsidRPr="000F42BC" w:rsidRDefault="000F42BC" w:rsidP="00730578">
      <w:pPr>
        <w:numPr>
          <w:ilvl w:val="0"/>
          <w:numId w:val="2"/>
        </w:numPr>
        <w:pBdr>
          <w:top w:val="nil"/>
          <w:left w:val="nil"/>
          <w:bottom w:val="nil"/>
          <w:right w:val="nil"/>
          <w:between w:val="nil"/>
        </w:pBdr>
        <w:ind w:right="720"/>
        <w:rPr>
          <w:rFonts w:ascii="Calibri" w:eastAsia="Calibri" w:hAnsi="Calibri" w:cs="Calibri"/>
          <w:color w:val="000000"/>
        </w:rPr>
      </w:pPr>
      <w:r w:rsidRPr="000F42BC">
        <w:rPr>
          <w:color w:val="000000"/>
        </w:rPr>
        <w:t>“I think that [debrief] was my favorite part…. Because there were so many times when I have been in other field placements where I so desperately wanted to talk about something that happened with the teacher but he/ she was way too busy…”</w:t>
      </w:r>
    </w:p>
    <w:p w14:paraId="3631211C" w14:textId="77777777" w:rsidR="000F42BC" w:rsidRPr="000F42BC" w:rsidRDefault="000F42BC" w:rsidP="000F42BC">
      <w:pPr>
        <w:pBdr>
          <w:top w:val="nil"/>
          <w:left w:val="nil"/>
          <w:bottom w:val="nil"/>
          <w:right w:val="nil"/>
          <w:between w:val="nil"/>
        </w:pBdr>
        <w:ind w:left="720" w:right="720" w:hanging="720"/>
        <w:rPr>
          <w:color w:val="000000"/>
        </w:rPr>
      </w:pPr>
    </w:p>
    <w:p w14:paraId="15D00AF6" w14:textId="77777777" w:rsidR="000F42BC" w:rsidRPr="000F42BC" w:rsidRDefault="000F42BC" w:rsidP="000F42BC"/>
    <w:p w14:paraId="69414666" w14:textId="77777777" w:rsidR="000F42BC" w:rsidRPr="000F42BC" w:rsidRDefault="000F42BC" w:rsidP="00730578">
      <w:pPr>
        <w:numPr>
          <w:ilvl w:val="0"/>
          <w:numId w:val="3"/>
        </w:numPr>
        <w:pBdr>
          <w:top w:val="nil"/>
          <w:left w:val="nil"/>
          <w:bottom w:val="nil"/>
          <w:right w:val="nil"/>
          <w:between w:val="nil"/>
        </w:pBdr>
        <w:ind w:right="720"/>
        <w:rPr>
          <w:rFonts w:ascii="Calibri" w:eastAsia="Calibri" w:hAnsi="Calibri" w:cs="Calibri"/>
          <w:color w:val="000000"/>
        </w:rPr>
      </w:pPr>
      <w:r w:rsidRPr="000F42BC">
        <w:rPr>
          <w:color w:val="000000"/>
        </w:rPr>
        <w:t xml:space="preserve">“Actually seeing lessons maybe play out and then come back and reflecting on that… I think that helped a lot....being reflective the way this is set up is just such a part of the routine we go through...We come back, we’re reflective, we debrief on it. </w:t>
      </w:r>
      <w:r w:rsidR="00525BEA">
        <w:rPr>
          <w:color w:val="000000"/>
        </w:rPr>
        <w:t xml:space="preserve"> </w:t>
      </w:r>
      <w:r w:rsidRPr="000F42BC">
        <w:rPr>
          <w:color w:val="000000"/>
        </w:rPr>
        <w:t>It was just so fresh ... right when you got back to the classroom, you talked about it at your table ...That’s where it [learning] happened a lot for me.”</w:t>
      </w:r>
    </w:p>
    <w:p w14:paraId="08369864" w14:textId="77777777" w:rsidR="000F42BC" w:rsidRPr="000F42BC" w:rsidRDefault="000F42BC" w:rsidP="000F42BC"/>
    <w:p w14:paraId="3180E5EF" w14:textId="77777777" w:rsidR="000F42BC" w:rsidRPr="000F42BC" w:rsidRDefault="000F42BC" w:rsidP="000F42BC">
      <w:pPr>
        <w:spacing w:line="480" w:lineRule="auto"/>
        <w:ind w:firstLine="360"/>
      </w:pPr>
      <w:r w:rsidRPr="000F42BC">
        <w:rPr>
          <w:color w:val="000000"/>
        </w:rPr>
        <w:t>In addition to being able to reflect, debrief, and ask questions, students repeatedly reiterated that having a shared set of experiences in which to do so was a main factor in their learning. Several mentioned the benefits of having peers and instructors in the classroom at the same time:</w:t>
      </w:r>
    </w:p>
    <w:p w14:paraId="3901BEBE" w14:textId="77777777" w:rsidR="000F42BC" w:rsidRPr="000F42BC" w:rsidRDefault="000F42BC" w:rsidP="00730578">
      <w:pPr>
        <w:numPr>
          <w:ilvl w:val="0"/>
          <w:numId w:val="4"/>
        </w:numPr>
        <w:pBdr>
          <w:top w:val="nil"/>
          <w:left w:val="nil"/>
          <w:bottom w:val="nil"/>
          <w:right w:val="nil"/>
          <w:between w:val="nil"/>
        </w:pBdr>
        <w:ind w:right="720"/>
        <w:rPr>
          <w:rFonts w:ascii="Calibri" w:eastAsia="Calibri" w:hAnsi="Calibri" w:cs="Calibri"/>
          <w:color w:val="000000"/>
        </w:rPr>
      </w:pPr>
      <w:r w:rsidRPr="000F42BC">
        <w:rPr>
          <w:color w:val="000000"/>
        </w:rPr>
        <w:t xml:space="preserve">“You guys [the instructors] were there and you can point things out in this classroom, and be like, ‘did you notice this?’ </w:t>
      </w:r>
      <w:r w:rsidR="00525BEA">
        <w:rPr>
          <w:color w:val="000000"/>
        </w:rPr>
        <w:t xml:space="preserve"> </w:t>
      </w:r>
      <w:r w:rsidRPr="000F42BC">
        <w:rPr>
          <w:color w:val="000000"/>
        </w:rPr>
        <w:t>Which maybe things that slide past us like or… so you had this experience … did you notice… What should we have done?”</w:t>
      </w:r>
    </w:p>
    <w:p w14:paraId="12FF4C5A" w14:textId="77777777" w:rsidR="000F42BC" w:rsidRPr="000F42BC" w:rsidRDefault="000F42BC" w:rsidP="000F42BC">
      <w:pPr>
        <w:ind w:left="720"/>
      </w:pPr>
    </w:p>
    <w:p w14:paraId="6720DD8D" w14:textId="77777777" w:rsidR="000F42BC" w:rsidRPr="000F42BC" w:rsidRDefault="000F42BC" w:rsidP="00730578">
      <w:pPr>
        <w:numPr>
          <w:ilvl w:val="0"/>
          <w:numId w:val="6"/>
        </w:numPr>
        <w:pBdr>
          <w:top w:val="nil"/>
          <w:left w:val="nil"/>
          <w:bottom w:val="nil"/>
          <w:right w:val="nil"/>
          <w:between w:val="nil"/>
        </w:pBdr>
        <w:ind w:right="720"/>
        <w:rPr>
          <w:rFonts w:ascii="Calibri" w:eastAsia="Calibri" w:hAnsi="Calibri" w:cs="Calibri"/>
          <w:color w:val="000000"/>
        </w:rPr>
      </w:pPr>
      <w:r w:rsidRPr="000F42BC">
        <w:t>“</w:t>
      </w:r>
      <w:r w:rsidRPr="000F42BC">
        <w:rPr>
          <w:color w:val="000000"/>
        </w:rPr>
        <w:t>I used my peers... If somebody was sitting next to me and listening to me work with my kids... they heard everything, I reflected with them... Did you see that,... did I do something wrong, would you do something different?”</w:t>
      </w:r>
    </w:p>
    <w:p w14:paraId="72E067A6" w14:textId="77777777" w:rsidR="000F42BC" w:rsidRPr="000F42BC" w:rsidRDefault="000F42BC" w:rsidP="000F42BC">
      <w:pPr>
        <w:pBdr>
          <w:top w:val="nil"/>
          <w:left w:val="nil"/>
          <w:bottom w:val="nil"/>
          <w:right w:val="nil"/>
          <w:between w:val="nil"/>
        </w:pBdr>
        <w:ind w:left="720" w:right="720"/>
        <w:rPr>
          <w:rFonts w:ascii="Calibri" w:eastAsia="Calibri" w:hAnsi="Calibri" w:cs="Calibri"/>
          <w:color w:val="000000"/>
        </w:rPr>
      </w:pPr>
    </w:p>
    <w:p w14:paraId="25F54E0E" w14:textId="77777777" w:rsidR="000F42BC" w:rsidRPr="000F42BC" w:rsidRDefault="000F42BC" w:rsidP="000F42BC">
      <w:pPr>
        <w:spacing w:line="480" w:lineRule="auto"/>
      </w:pPr>
      <w:r w:rsidRPr="000F42BC">
        <w:rPr>
          <w:color w:val="000000"/>
        </w:rPr>
        <w:t>Related comments showed that students valued the continuity of the experience.</w:t>
      </w:r>
      <w:r w:rsidR="00525BEA">
        <w:rPr>
          <w:color w:val="000000"/>
        </w:rPr>
        <w:t xml:space="preserve"> </w:t>
      </w:r>
      <w:r w:rsidRPr="000F42BC">
        <w:rPr>
          <w:color w:val="000000"/>
        </w:rPr>
        <w:t xml:space="preserve"> A couple of comments also mentioned that having this continuity also gave them more of a sense of purpose that we would suggest aids in forming a teacher identity.</w:t>
      </w:r>
    </w:p>
    <w:p w14:paraId="4EC04793" w14:textId="77777777" w:rsidR="000F42BC" w:rsidRPr="000F42BC" w:rsidRDefault="000F42BC" w:rsidP="00730578">
      <w:pPr>
        <w:numPr>
          <w:ilvl w:val="0"/>
          <w:numId w:val="8"/>
        </w:numPr>
        <w:pBdr>
          <w:top w:val="nil"/>
          <w:left w:val="nil"/>
          <w:bottom w:val="nil"/>
          <w:right w:val="nil"/>
          <w:between w:val="nil"/>
        </w:pBdr>
        <w:ind w:right="720"/>
        <w:rPr>
          <w:rFonts w:ascii="Calibri" w:eastAsia="Calibri" w:hAnsi="Calibri" w:cs="Calibri"/>
          <w:color w:val="000000"/>
        </w:rPr>
      </w:pPr>
      <w:r w:rsidRPr="000F42BC">
        <w:rPr>
          <w:color w:val="000000"/>
        </w:rPr>
        <w:t>“This is a much better opportunity being here every day with the teachers and the students here and having the opportunity to teach and go through an entire assignment with them rather than just putting on the grade and putting it in the folder or watching.”</w:t>
      </w:r>
    </w:p>
    <w:p w14:paraId="4186C019" w14:textId="77777777" w:rsidR="000F42BC" w:rsidRPr="000F42BC" w:rsidRDefault="000F42BC" w:rsidP="000F42BC">
      <w:pPr>
        <w:ind w:left="720"/>
      </w:pPr>
    </w:p>
    <w:p w14:paraId="698455EC" w14:textId="77777777" w:rsidR="000F42BC" w:rsidRPr="000F42BC" w:rsidRDefault="000F42BC" w:rsidP="00730578">
      <w:pPr>
        <w:numPr>
          <w:ilvl w:val="0"/>
          <w:numId w:val="8"/>
        </w:numPr>
        <w:pBdr>
          <w:top w:val="nil"/>
          <w:left w:val="nil"/>
          <w:bottom w:val="nil"/>
          <w:right w:val="nil"/>
          <w:between w:val="nil"/>
        </w:pBdr>
        <w:ind w:right="720"/>
        <w:rPr>
          <w:rFonts w:ascii="Calibri" w:eastAsia="Calibri" w:hAnsi="Calibri" w:cs="Calibri"/>
          <w:color w:val="000000"/>
        </w:rPr>
      </w:pPr>
      <w:r w:rsidRPr="000F42BC">
        <w:rPr>
          <w:color w:val="000000"/>
        </w:rPr>
        <w:t>“You’re helping this group of students who are behind a lot of times in other field placements. [In this experience,] I’m not just helping, I’m going through a process with them and like getting them to an end goal.”</w:t>
      </w:r>
    </w:p>
    <w:p w14:paraId="14E12C95" w14:textId="77777777" w:rsidR="000F42BC" w:rsidRPr="000F42BC" w:rsidRDefault="000F42BC" w:rsidP="000F42BC">
      <w:pPr>
        <w:ind w:left="720"/>
      </w:pPr>
    </w:p>
    <w:p w14:paraId="1D780E8C" w14:textId="77777777" w:rsidR="000F42BC" w:rsidRPr="000F42BC" w:rsidRDefault="000F42BC" w:rsidP="00730578">
      <w:pPr>
        <w:numPr>
          <w:ilvl w:val="0"/>
          <w:numId w:val="13"/>
        </w:numPr>
        <w:pBdr>
          <w:top w:val="nil"/>
          <w:left w:val="nil"/>
          <w:bottom w:val="nil"/>
          <w:right w:val="nil"/>
          <w:between w:val="nil"/>
        </w:pBdr>
        <w:ind w:right="720"/>
        <w:rPr>
          <w:rFonts w:ascii="Calibri" w:eastAsia="Calibri" w:hAnsi="Calibri" w:cs="Calibri"/>
          <w:color w:val="000000"/>
        </w:rPr>
      </w:pPr>
      <w:r w:rsidRPr="000F42BC">
        <w:rPr>
          <w:color w:val="000000"/>
        </w:rPr>
        <w:t xml:space="preserve">“Seeing them every day, it changed everything. </w:t>
      </w:r>
      <w:r w:rsidR="00525BEA">
        <w:rPr>
          <w:color w:val="000000"/>
        </w:rPr>
        <w:t xml:space="preserve"> </w:t>
      </w:r>
      <w:r w:rsidRPr="000F42BC">
        <w:rPr>
          <w:color w:val="000000"/>
        </w:rPr>
        <w:t>We were able to build those experiences.”</w:t>
      </w:r>
    </w:p>
    <w:p w14:paraId="21D2D01A" w14:textId="77777777" w:rsidR="000F42BC" w:rsidRPr="000F42BC" w:rsidRDefault="000F42BC" w:rsidP="000F42BC">
      <w:pPr>
        <w:pBdr>
          <w:top w:val="nil"/>
          <w:left w:val="nil"/>
          <w:bottom w:val="nil"/>
          <w:right w:val="nil"/>
          <w:between w:val="nil"/>
        </w:pBdr>
        <w:ind w:left="720" w:right="720" w:hanging="720"/>
        <w:rPr>
          <w:color w:val="000000"/>
        </w:rPr>
      </w:pPr>
    </w:p>
    <w:p w14:paraId="2F86349C" w14:textId="77777777" w:rsidR="000F42BC" w:rsidRPr="000F42BC" w:rsidRDefault="000F42BC" w:rsidP="000F42BC">
      <w:pPr>
        <w:spacing w:line="480" w:lineRule="auto"/>
        <w:ind w:firstLine="360"/>
      </w:pPr>
      <w:r w:rsidRPr="000F42BC">
        <w:rPr>
          <w:color w:val="000000"/>
        </w:rPr>
        <w:t xml:space="preserve">One student reported that in a previous placement, the children asked her who she was every week when she came to their classroom. </w:t>
      </w:r>
      <w:r w:rsidR="00525BEA">
        <w:rPr>
          <w:color w:val="000000"/>
        </w:rPr>
        <w:t xml:space="preserve"> </w:t>
      </w:r>
      <w:r w:rsidRPr="000F42BC">
        <w:rPr>
          <w:color w:val="000000"/>
        </w:rPr>
        <w:t xml:space="preserve">Almost all our students agreed that, because of the immersion experience, the level of their knowing the children and their connections to the children were much deeper. </w:t>
      </w:r>
      <w:r w:rsidR="00525BEA">
        <w:rPr>
          <w:color w:val="000000"/>
        </w:rPr>
        <w:t xml:space="preserve"> </w:t>
      </w:r>
      <w:r w:rsidRPr="000F42BC">
        <w:rPr>
          <w:color w:val="000000"/>
        </w:rPr>
        <w:t>When misbehavior or misunderstandings occurred, students felt they knew better what to do about it because they knew the children.</w:t>
      </w:r>
      <w:r w:rsidR="00525BEA">
        <w:rPr>
          <w:color w:val="000000"/>
        </w:rPr>
        <w:t xml:space="preserve"> </w:t>
      </w:r>
      <w:r w:rsidRPr="000F42BC">
        <w:rPr>
          <w:color w:val="000000"/>
        </w:rPr>
        <w:t xml:space="preserve"> Some responses to the question, “What was your experience in relationships with your students?” were:</w:t>
      </w:r>
    </w:p>
    <w:p w14:paraId="4A9D233B" w14:textId="77777777" w:rsidR="000F42BC" w:rsidRPr="000F42BC" w:rsidRDefault="000F42BC" w:rsidP="00730578">
      <w:pPr>
        <w:numPr>
          <w:ilvl w:val="0"/>
          <w:numId w:val="15"/>
        </w:numPr>
        <w:pBdr>
          <w:top w:val="nil"/>
          <w:left w:val="nil"/>
          <w:bottom w:val="nil"/>
          <w:right w:val="nil"/>
          <w:between w:val="nil"/>
        </w:pBdr>
        <w:ind w:right="720"/>
        <w:rPr>
          <w:rFonts w:ascii="Calibri" w:eastAsia="Calibri" w:hAnsi="Calibri" w:cs="Calibri"/>
          <w:color w:val="000000"/>
        </w:rPr>
      </w:pPr>
      <w:r w:rsidRPr="000F42BC">
        <w:rPr>
          <w:color w:val="000000"/>
        </w:rPr>
        <w:t>“…where if I were at a normal field, I don’t feel like it would have been my place….because I build that relationship with her, where I know her behavio</w:t>
      </w:r>
      <w:r w:rsidRPr="000F42BC">
        <w:t>r.”</w:t>
      </w:r>
    </w:p>
    <w:p w14:paraId="095D711E" w14:textId="77777777" w:rsidR="000F42BC" w:rsidRPr="000F42BC" w:rsidRDefault="000F42BC" w:rsidP="000F42BC"/>
    <w:p w14:paraId="60C947D7" w14:textId="77777777" w:rsidR="000F42BC" w:rsidRPr="000F42BC" w:rsidRDefault="000F42BC" w:rsidP="00730578">
      <w:pPr>
        <w:numPr>
          <w:ilvl w:val="0"/>
          <w:numId w:val="17"/>
        </w:numPr>
        <w:pBdr>
          <w:top w:val="nil"/>
          <w:left w:val="nil"/>
          <w:bottom w:val="nil"/>
          <w:right w:val="nil"/>
          <w:between w:val="nil"/>
        </w:pBdr>
        <w:ind w:right="720"/>
        <w:rPr>
          <w:rFonts w:ascii="Calibri" w:eastAsia="Calibri" w:hAnsi="Calibri" w:cs="Calibri"/>
          <w:color w:val="000000"/>
        </w:rPr>
      </w:pPr>
      <w:r w:rsidRPr="000F42BC">
        <w:t>“T</w:t>
      </w:r>
      <w:r w:rsidRPr="000F42BC">
        <w:rPr>
          <w:color w:val="000000"/>
        </w:rPr>
        <w:t xml:space="preserve">hey [children] know when you are trying to manipulate them, when you are just doing things to control them….and don’t genuinely care. </w:t>
      </w:r>
      <w:r w:rsidR="00525BEA">
        <w:rPr>
          <w:color w:val="000000"/>
        </w:rPr>
        <w:t xml:space="preserve"> </w:t>
      </w:r>
      <w:r w:rsidRPr="000F42BC">
        <w:rPr>
          <w:color w:val="000000"/>
        </w:rPr>
        <w:t>She [the child] knew that you genuinely cared for her and that’s why you were trying to….”</w:t>
      </w:r>
    </w:p>
    <w:p w14:paraId="24D5E8EF" w14:textId="77777777" w:rsidR="000F42BC" w:rsidRPr="000F42BC" w:rsidRDefault="000F42BC" w:rsidP="000F42BC"/>
    <w:p w14:paraId="3D55ECE5" w14:textId="77777777" w:rsidR="000F42BC" w:rsidRPr="000F42BC" w:rsidRDefault="000F42BC" w:rsidP="000F42BC">
      <w:pPr>
        <w:spacing w:line="480" w:lineRule="auto"/>
      </w:pPr>
      <w:r w:rsidRPr="000F42BC">
        <w:rPr>
          <w:color w:val="000000"/>
        </w:rPr>
        <w:t>Stronger relationships contribute to a sense of community.</w:t>
      </w:r>
      <w:r w:rsidR="00525BEA">
        <w:rPr>
          <w:color w:val="000000"/>
        </w:rPr>
        <w:t xml:space="preserve"> </w:t>
      </w:r>
      <w:r w:rsidRPr="000F42BC">
        <w:rPr>
          <w:color w:val="000000"/>
        </w:rPr>
        <w:t xml:space="preserve"> Many students mentioned this as one of the growth aspects of this experience. </w:t>
      </w:r>
      <w:r w:rsidR="00525BEA">
        <w:rPr>
          <w:color w:val="000000"/>
        </w:rPr>
        <w:t xml:space="preserve"> </w:t>
      </w:r>
      <w:r w:rsidRPr="000F42BC">
        <w:rPr>
          <w:color w:val="000000"/>
        </w:rPr>
        <w:t xml:space="preserve">In being at the school all day, every day, they got to experience a bit of what it is like to live the life of a teacher in terms of time, schedule, collegial relationships, responsibilities, and interactions. </w:t>
      </w:r>
      <w:r w:rsidR="00525BEA">
        <w:rPr>
          <w:color w:val="000000"/>
        </w:rPr>
        <w:t xml:space="preserve"> </w:t>
      </w:r>
      <w:r w:rsidRPr="000F42BC">
        <w:rPr>
          <w:color w:val="000000"/>
        </w:rPr>
        <w:t xml:space="preserve">During the immersion sessions, we were able to engage in many experiences that contributed to our students’ understanding of the school climate. We attended faculty meetings and sing-a-longs, ate lunch with the teachers and the students, went to recess, took part in fire drills, and had one-on-one discussions with teachers and principal. </w:t>
      </w:r>
      <w:r w:rsidR="00525BEA">
        <w:rPr>
          <w:color w:val="000000"/>
        </w:rPr>
        <w:t xml:space="preserve"> </w:t>
      </w:r>
      <w:r w:rsidRPr="000F42BC">
        <w:rPr>
          <w:color w:val="000000"/>
        </w:rPr>
        <w:t>We observed routines, including bus arrivals, office routines, dismissal, and daily announcements.</w:t>
      </w:r>
      <w:r w:rsidR="00525BEA">
        <w:rPr>
          <w:color w:val="000000"/>
        </w:rPr>
        <w:t xml:space="preserve"> </w:t>
      </w:r>
      <w:r w:rsidRPr="000F42BC">
        <w:rPr>
          <w:color w:val="000000"/>
        </w:rPr>
        <w:t xml:space="preserve"> These activities were not always planned; they occurred spontaneously as a result of our being present in the schools. </w:t>
      </w:r>
      <w:r w:rsidR="00525BEA">
        <w:rPr>
          <w:color w:val="000000"/>
        </w:rPr>
        <w:t xml:space="preserve"> </w:t>
      </w:r>
      <w:r w:rsidRPr="000F42BC">
        <w:rPr>
          <w:color w:val="000000"/>
        </w:rPr>
        <w:t>In general, we became a part of the fabric of the school. Both teachers and children knew our names and greeted us in the hall. Our university students knew not only the teachers with whom they worked, but also the support staff, custodians, special teachers, and administrators.</w:t>
      </w:r>
      <w:r w:rsidR="00525BEA">
        <w:rPr>
          <w:color w:val="000000"/>
        </w:rPr>
        <w:t xml:space="preserve"> </w:t>
      </w:r>
      <w:r w:rsidRPr="000F42BC">
        <w:rPr>
          <w:color w:val="000000"/>
        </w:rPr>
        <w:t xml:space="preserve"> University students got glimpses of daily activities as well as the behind the scenes preparation necessary to get ready for school. </w:t>
      </w:r>
      <w:r w:rsidR="00525BEA">
        <w:rPr>
          <w:color w:val="000000"/>
        </w:rPr>
        <w:t xml:space="preserve"> </w:t>
      </w:r>
      <w:r w:rsidRPr="000F42BC">
        <w:rPr>
          <w:color w:val="000000"/>
        </w:rPr>
        <w:t>Our students experienced more of a teacher’s life than in a traditional once-a-week field experience. One student put this very powerfully: “You get to see how rewarding it is to be in this community too, you know.</w:t>
      </w:r>
      <w:r w:rsidR="00525BEA">
        <w:rPr>
          <w:color w:val="000000"/>
        </w:rPr>
        <w:t xml:space="preserve"> </w:t>
      </w:r>
      <w:r w:rsidRPr="000F42BC">
        <w:rPr>
          <w:color w:val="000000"/>
        </w:rPr>
        <w:t xml:space="preserve"> It is rewarding. </w:t>
      </w:r>
      <w:r w:rsidR="00525BEA">
        <w:rPr>
          <w:color w:val="000000"/>
        </w:rPr>
        <w:t xml:space="preserve"> </w:t>
      </w:r>
      <w:r w:rsidRPr="000F42BC">
        <w:rPr>
          <w:color w:val="000000"/>
        </w:rPr>
        <w:t xml:space="preserve">The whole instruction and the teaching part and management part, but you get to see more. </w:t>
      </w:r>
      <w:r w:rsidR="00525BEA">
        <w:rPr>
          <w:color w:val="000000"/>
        </w:rPr>
        <w:t xml:space="preserve"> </w:t>
      </w:r>
      <w:r w:rsidRPr="000F42BC">
        <w:rPr>
          <w:color w:val="000000"/>
        </w:rPr>
        <w:t>You get to see what it’s really like to be here and to see the events they have after school and to see what the teachers do.”</w:t>
      </w:r>
    </w:p>
    <w:p w14:paraId="246DDF64" w14:textId="77777777" w:rsidR="000F42BC" w:rsidRPr="000F42BC" w:rsidRDefault="000F42BC" w:rsidP="000F42BC">
      <w:pPr>
        <w:spacing w:line="480" w:lineRule="auto"/>
        <w:ind w:firstLine="720"/>
      </w:pPr>
      <w:r w:rsidRPr="000F42BC">
        <w:rPr>
          <w:color w:val="000000"/>
        </w:rPr>
        <w:t>Adding to this, some students mentioned that they felt more like they belonged in the classroom than in previous experiences.</w:t>
      </w:r>
      <w:r w:rsidR="00525BEA">
        <w:rPr>
          <w:color w:val="000000"/>
        </w:rPr>
        <w:t xml:space="preserve"> </w:t>
      </w:r>
      <w:r w:rsidRPr="000F42BC">
        <w:rPr>
          <w:color w:val="000000"/>
        </w:rPr>
        <w:t xml:space="preserve"> Relationships that were developed worked both ways.</w:t>
      </w:r>
    </w:p>
    <w:p w14:paraId="261FBCC5" w14:textId="77777777" w:rsidR="000F42BC" w:rsidRPr="000F42BC" w:rsidRDefault="000F42BC" w:rsidP="00730578">
      <w:pPr>
        <w:numPr>
          <w:ilvl w:val="0"/>
          <w:numId w:val="10"/>
        </w:numPr>
        <w:pBdr>
          <w:top w:val="nil"/>
          <w:left w:val="nil"/>
          <w:bottom w:val="nil"/>
          <w:right w:val="nil"/>
          <w:between w:val="nil"/>
        </w:pBdr>
        <w:spacing w:line="480" w:lineRule="auto"/>
        <w:ind w:right="720"/>
        <w:rPr>
          <w:color w:val="000000"/>
        </w:rPr>
      </w:pPr>
      <w:r w:rsidRPr="000F42BC">
        <w:rPr>
          <w:color w:val="000000"/>
        </w:rPr>
        <w:t>“So I think that they really did like see us as a part of their community…”</w:t>
      </w:r>
    </w:p>
    <w:p w14:paraId="2A99A94F" w14:textId="77777777" w:rsidR="000F42BC" w:rsidRPr="000F42BC" w:rsidRDefault="000F42BC" w:rsidP="00730578">
      <w:pPr>
        <w:numPr>
          <w:ilvl w:val="0"/>
          <w:numId w:val="10"/>
        </w:numPr>
        <w:pBdr>
          <w:top w:val="nil"/>
          <w:left w:val="nil"/>
          <w:bottom w:val="nil"/>
          <w:right w:val="nil"/>
          <w:between w:val="nil"/>
        </w:pBdr>
        <w:ind w:right="720"/>
        <w:rPr>
          <w:color w:val="000000"/>
        </w:rPr>
      </w:pPr>
      <w:r w:rsidRPr="000F42BC">
        <w:t>“</w:t>
      </w:r>
      <w:r w:rsidRPr="000F42BC">
        <w:rPr>
          <w:color w:val="000000"/>
        </w:rPr>
        <w:t>They [the children] understood that we were here to help them accomplish their goals and help them grow.”</w:t>
      </w:r>
    </w:p>
    <w:p w14:paraId="64010A13" w14:textId="77777777" w:rsidR="000F42BC" w:rsidRPr="000F42BC" w:rsidRDefault="000F42BC" w:rsidP="000F42BC"/>
    <w:p w14:paraId="16EC5498" w14:textId="77777777" w:rsidR="000F42BC" w:rsidRPr="000F42BC" w:rsidRDefault="000F42BC" w:rsidP="000F42BC">
      <w:pPr>
        <w:spacing w:line="480" w:lineRule="auto"/>
        <w:ind w:right="720"/>
      </w:pPr>
      <w:r w:rsidRPr="000F42BC">
        <w:rPr>
          <w:color w:val="000000"/>
        </w:rPr>
        <w:t xml:space="preserve">When asked about the relationships that they had developed with the teachers, there were mixed sentiments. </w:t>
      </w:r>
      <w:r w:rsidR="00525BEA">
        <w:rPr>
          <w:color w:val="000000"/>
        </w:rPr>
        <w:t xml:space="preserve"> </w:t>
      </w:r>
      <w:r w:rsidRPr="000F42BC">
        <w:rPr>
          <w:color w:val="000000"/>
        </w:rPr>
        <w:t xml:space="preserve">Some students who had had previous field placements felt that, in the traditional placements, they had spent more one-on-one time with their mentor teachers and had gotten to know them better personally. </w:t>
      </w:r>
      <w:r w:rsidR="00525BEA">
        <w:rPr>
          <w:color w:val="000000"/>
        </w:rPr>
        <w:t xml:space="preserve"> </w:t>
      </w:r>
      <w:r w:rsidRPr="000F42BC">
        <w:rPr>
          <w:color w:val="000000"/>
        </w:rPr>
        <w:t>This was a consistent negative comment about the immersion format, though it represented a low percentage of the participants. Several students commented that they felt very comfortable with the embedded field teachers.</w:t>
      </w:r>
      <w:r w:rsidR="002B2E70">
        <w:rPr>
          <w:color w:val="000000"/>
        </w:rPr>
        <w:t xml:space="preserve"> </w:t>
      </w:r>
      <w:r w:rsidRPr="000F42BC">
        <w:rPr>
          <w:color w:val="000000"/>
        </w:rPr>
        <w:t xml:space="preserve"> A few mentioned that even though they did not get to speak directly with the teachers every day, they felt they got to know them because they were focusing on the teaching behaviors and discussing them in our debriefing sessions. </w:t>
      </w:r>
      <w:r w:rsidR="002B2E70">
        <w:rPr>
          <w:color w:val="000000"/>
        </w:rPr>
        <w:t xml:space="preserve"> </w:t>
      </w:r>
      <w:r w:rsidRPr="000F42BC">
        <w:rPr>
          <w:color w:val="000000"/>
        </w:rPr>
        <w:t xml:space="preserve">While they indicated they knew the teachers in the traditional field placements better on a personal level, they felt they “knew” these teachers better professionally due to the facilitated discussions we had after every classroom visit. </w:t>
      </w:r>
    </w:p>
    <w:p w14:paraId="03760EF5" w14:textId="77777777" w:rsidR="000F42BC" w:rsidRPr="000F42BC" w:rsidRDefault="000F42BC" w:rsidP="000F42BC">
      <w:pPr>
        <w:spacing w:line="480" w:lineRule="auto"/>
        <w:ind w:firstLine="720"/>
      </w:pPr>
      <w:r w:rsidRPr="000F42BC">
        <w:rPr>
          <w:color w:val="000000"/>
        </w:rPr>
        <w:t xml:space="preserve">Impact on attitudes towards tests and grades in a university class was another interesting idea that came from only one focus group; it just came up in the conversation, and no specific question had been asked about it in the interview questions. </w:t>
      </w:r>
      <w:r w:rsidR="002B2E70">
        <w:rPr>
          <w:color w:val="000000"/>
        </w:rPr>
        <w:t xml:space="preserve"> </w:t>
      </w:r>
      <w:r w:rsidRPr="000F42BC">
        <w:rPr>
          <w:color w:val="000000"/>
        </w:rPr>
        <w:t xml:space="preserve">They suggested that they did not think so much about the grade they were going to get or feel it was so important to get the grade when they were working and learning things in order to apply them to real situations. </w:t>
      </w:r>
      <w:r w:rsidR="002B2E70">
        <w:rPr>
          <w:color w:val="000000"/>
        </w:rPr>
        <w:t xml:space="preserve"> </w:t>
      </w:r>
      <w:r w:rsidRPr="000F42BC">
        <w:rPr>
          <w:color w:val="000000"/>
        </w:rPr>
        <w:t>Grades did not seem the most important outcome of the course:</w:t>
      </w:r>
    </w:p>
    <w:p w14:paraId="63288845" w14:textId="77777777" w:rsidR="000F42BC" w:rsidRPr="000F42BC" w:rsidRDefault="000F42BC" w:rsidP="000F42BC">
      <w:pPr>
        <w:pBdr>
          <w:top w:val="nil"/>
          <w:left w:val="nil"/>
          <w:bottom w:val="nil"/>
          <w:right w:val="nil"/>
          <w:between w:val="nil"/>
        </w:pBdr>
        <w:ind w:left="720" w:right="720" w:hanging="720"/>
        <w:rPr>
          <w:color w:val="000000"/>
        </w:rPr>
      </w:pPr>
      <w:r w:rsidRPr="000F42BC">
        <w:rPr>
          <w:color w:val="000000"/>
        </w:rPr>
        <w:tab/>
        <w:t>“Because throughout high school you memorize, you get to the test and you’re done. ...,you kind of memorize your stuff until you can pass and then you’re ok. But here, it’s like it doesn’t matter about memorization.</w:t>
      </w:r>
      <w:r w:rsidR="002B2E70">
        <w:rPr>
          <w:color w:val="000000"/>
        </w:rPr>
        <w:t xml:space="preserve"> </w:t>
      </w:r>
      <w:r w:rsidRPr="000F42BC">
        <w:rPr>
          <w:color w:val="000000"/>
        </w:rPr>
        <w:t xml:space="preserve"> It’s whether you get it or not and whether you can apply it to your classroom,... you actually have to understand…”</w:t>
      </w:r>
    </w:p>
    <w:p w14:paraId="2500B2E8" w14:textId="77777777" w:rsidR="000F42BC" w:rsidRPr="000F42BC" w:rsidRDefault="000F42BC" w:rsidP="000F42BC"/>
    <w:p w14:paraId="26DC4114" w14:textId="77777777" w:rsidR="000F42BC" w:rsidRPr="000F42BC" w:rsidRDefault="000F42BC" w:rsidP="000F42BC">
      <w:pPr>
        <w:spacing w:line="480" w:lineRule="auto"/>
        <w:ind w:firstLine="720"/>
      </w:pPr>
      <w:r w:rsidRPr="000F42BC">
        <w:rPr>
          <w:color w:val="000000"/>
        </w:rPr>
        <w:t xml:space="preserve">We also had a focus group session with the four teachers whose classrooms were used every day. </w:t>
      </w:r>
      <w:r w:rsidR="002B2E70">
        <w:rPr>
          <w:color w:val="000000"/>
        </w:rPr>
        <w:t xml:space="preserve"> </w:t>
      </w:r>
      <w:r w:rsidRPr="000F42BC">
        <w:rPr>
          <w:color w:val="000000"/>
        </w:rPr>
        <w:t>Teachers reported that they were also reflective about their own management/ teaching practices since they knew that college students would be observing them every day and “there were little things… that they [university students] might have been picking up on while they were in there.”  </w:t>
      </w:r>
      <w:r w:rsidR="002B2E70">
        <w:rPr>
          <w:color w:val="000000"/>
        </w:rPr>
        <w:t xml:space="preserve"> </w:t>
      </w:r>
      <w:r w:rsidRPr="000F42BC">
        <w:rPr>
          <w:color w:val="000000"/>
        </w:rPr>
        <w:t>All four agreed that the continuity of the experience and having many adults in the room at the same time were positive aspects, on several levels.</w:t>
      </w:r>
      <w:r w:rsidR="002B2E70">
        <w:rPr>
          <w:color w:val="000000"/>
        </w:rPr>
        <w:t xml:space="preserve"> </w:t>
      </w:r>
      <w:r w:rsidRPr="000F42BC">
        <w:rPr>
          <w:color w:val="000000"/>
        </w:rPr>
        <w:t xml:space="preserve"> First, these allowed children to work with mentors in small groups, on difficult skills, every day, which was a growth experience for the children that cannot happen with a ratio of 25 students to 1 teacher. </w:t>
      </w:r>
      <w:r w:rsidR="002B2E70">
        <w:rPr>
          <w:color w:val="000000"/>
        </w:rPr>
        <w:t xml:space="preserve"> </w:t>
      </w:r>
      <w:r w:rsidRPr="000F42BC">
        <w:rPr>
          <w:color w:val="000000"/>
        </w:rPr>
        <w:t xml:space="preserve">One teacher commented, “I think it took quite a bit off of our shoulders. </w:t>
      </w:r>
      <w:r w:rsidR="002B2E70">
        <w:rPr>
          <w:color w:val="000000"/>
        </w:rPr>
        <w:t xml:space="preserve"> </w:t>
      </w:r>
      <w:r w:rsidRPr="000F42BC">
        <w:rPr>
          <w:color w:val="000000"/>
        </w:rPr>
        <w:t>We attempted something</w:t>
      </w:r>
      <w:r w:rsidR="002B2E70">
        <w:rPr>
          <w:color w:val="000000"/>
        </w:rPr>
        <w:t>..</w:t>
      </w:r>
      <w:r w:rsidRPr="000F42BC">
        <w:rPr>
          <w:color w:val="000000"/>
        </w:rPr>
        <w:t>.that we never, ever, ever could’ve even begun to start doing on our own</w:t>
      </w:r>
      <w:r w:rsidR="002B2E70">
        <w:rPr>
          <w:color w:val="000000"/>
        </w:rPr>
        <w:t>..</w:t>
      </w:r>
      <w:r w:rsidRPr="000F42BC">
        <w:rPr>
          <w:color w:val="000000"/>
        </w:rPr>
        <w:t>.a hundred times more effective.”</w:t>
      </w:r>
    </w:p>
    <w:p w14:paraId="6AB96B17" w14:textId="77777777" w:rsidR="000F42BC" w:rsidRPr="000F42BC" w:rsidRDefault="000F42BC" w:rsidP="000F42BC">
      <w:pPr>
        <w:spacing w:line="480" w:lineRule="auto"/>
        <w:ind w:firstLine="720"/>
      </w:pPr>
      <w:r w:rsidRPr="000F42BC">
        <w:rPr>
          <w:color w:val="000000"/>
        </w:rPr>
        <w:t xml:space="preserve">A continuous experience also allowed university students to have ownership of their own learning, to reflect, and have opportunities to try alternatives based on the reflections. </w:t>
      </w:r>
      <w:r w:rsidR="002B2E70">
        <w:rPr>
          <w:color w:val="000000"/>
        </w:rPr>
        <w:t xml:space="preserve"> </w:t>
      </w:r>
      <w:r w:rsidRPr="000F42BC">
        <w:rPr>
          <w:color w:val="000000"/>
        </w:rPr>
        <w:t xml:space="preserve">As discussed earlier, having purpose was also mentioned by the university students. </w:t>
      </w:r>
      <w:r w:rsidR="002B2E70">
        <w:rPr>
          <w:color w:val="000000"/>
        </w:rPr>
        <w:t xml:space="preserve"> </w:t>
      </w:r>
      <w:r w:rsidRPr="000F42BC">
        <w:rPr>
          <w:color w:val="000000"/>
        </w:rPr>
        <w:t>These things are not usually possible in a once-a-week placement and was also reflected in the students’ comments about seeing things through to the end goals.</w:t>
      </w:r>
      <w:r w:rsidR="002B2E70">
        <w:rPr>
          <w:color w:val="000000"/>
        </w:rPr>
        <w:t xml:space="preserve"> </w:t>
      </w:r>
      <w:r w:rsidRPr="000F42BC">
        <w:rPr>
          <w:color w:val="000000"/>
        </w:rPr>
        <w:t xml:space="preserve"> One of the teachers explained,</w:t>
      </w:r>
    </w:p>
    <w:p w14:paraId="664E2E7D" w14:textId="77777777" w:rsidR="000F42BC" w:rsidRPr="000F42BC" w:rsidRDefault="000F42BC" w:rsidP="000F42BC">
      <w:pPr>
        <w:ind w:left="720" w:right="720"/>
      </w:pPr>
      <w:r w:rsidRPr="000F42BC">
        <w:rPr>
          <w:color w:val="000000"/>
        </w:rPr>
        <w:t xml:space="preserve">“And I really saw the [university] students take ownership with the kids and their learning. </w:t>
      </w:r>
      <w:r w:rsidR="002B2E70">
        <w:rPr>
          <w:color w:val="000000"/>
        </w:rPr>
        <w:t xml:space="preserve"> </w:t>
      </w:r>
      <w:r w:rsidRPr="000F42BC">
        <w:rPr>
          <w:color w:val="000000"/>
        </w:rPr>
        <w:t>I think.., the other [field] experiences, those are really helpful, but they are just that segment and they...feel as connected or responsible for achieving... But you saw, just physically in their faces, how much they wanted these kids to do well on this report or to figure this out or to be able to form a topic sentence. And we just felt like there was a huge buying in….They wanted it to be successful.”</w:t>
      </w:r>
    </w:p>
    <w:p w14:paraId="605A6925" w14:textId="77777777" w:rsidR="000F42BC" w:rsidRPr="000F42BC" w:rsidRDefault="000F42BC" w:rsidP="000F42BC"/>
    <w:p w14:paraId="07809453" w14:textId="77777777" w:rsidR="000F42BC" w:rsidRPr="000F42BC" w:rsidRDefault="000F42BC" w:rsidP="000F42BC">
      <w:pPr>
        <w:spacing w:line="480" w:lineRule="auto"/>
        <w:ind w:right="720"/>
      </w:pPr>
      <w:r w:rsidRPr="000F42BC">
        <w:rPr>
          <w:color w:val="000000"/>
        </w:rPr>
        <w:t xml:space="preserve">The concluding comments from university students that summed up their experiences were highly positive. </w:t>
      </w:r>
      <w:r w:rsidR="002B2E70">
        <w:rPr>
          <w:color w:val="000000"/>
        </w:rPr>
        <w:t xml:space="preserve"> </w:t>
      </w:r>
      <w:r w:rsidRPr="000F42BC">
        <w:rPr>
          <w:color w:val="000000"/>
        </w:rPr>
        <w:t xml:space="preserve">Many mentioned that they had a better understanding of what it meant to be a teacher. </w:t>
      </w:r>
      <w:r w:rsidR="002B2E70">
        <w:rPr>
          <w:color w:val="000000"/>
        </w:rPr>
        <w:t xml:space="preserve"> </w:t>
      </w:r>
      <w:r w:rsidRPr="000F42BC">
        <w:rPr>
          <w:color w:val="000000"/>
        </w:rPr>
        <w:t xml:space="preserve">This is important because of the high rate of attrition in our field. If students understand the job in the beginning stages of preparing, they can make better informed decisions about their futures. </w:t>
      </w:r>
      <w:r w:rsidR="002B2E70">
        <w:rPr>
          <w:color w:val="000000"/>
        </w:rPr>
        <w:t xml:space="preserve"> </w:t>
      </w:r>
      <w:r w:rsidRPr="000F42BC">
        <w:rPr>
          <w:color w:val="000000"/>
        </w:rPr>
        <w:t>This was repeated in various ways many times:</w:t>
      </w:r>
    </w:p>
    <w:p w14:paraId="6AC6EC7F" w14:textId="77777777" w:rsidR="000F42BC" w:rsidRPr="000F42BC" w:rsidRDefault="000F42BC" w:rsidP="00730578">
      <w:pPr>
        <w:numPr>
          <w:ilvl w:val="0"/>
          <w:numId w:val="11"/>
        </w:numPr>
        <w:pBdr>
          <w:top w:val="nil"/>
          <w:left w:val="nil"/>
          <w:bottom w:val="nil"/>
          <w:right w:val="nil"/>
          <w:between w:val="nil"/>
        </w:pBdr>
        <w:rPr>
          <w:rFonts w:ascii="Calibri" w:eastAsia="Calibri" w:hAnsi="Calibri" w:cs="Calibri"/>
          <w:color w:val="000000"/>
        </w:rPr>
      </w:pPr>
      <w:r w:rsidRPr="000F42BC">
        <w:rPr>
          <w:color w:val="000000"/>
        </w:rPr>
        <w:t xml:space="preserve">“...just seeing a teacher everyday makes a difference. </w:t>
      </w:r>
      <w:r w:rsidR="002B2E70">
        <w:rPr>
          <w:color w:val="000000"/>
        </w:rPr>
        <w:t xml:space="preserve"> </w:t>
      </w:r>
      <w:r w:rsidRPr="000F42BC">
        <w:rPr>
          <w:color w:val="000000"/>
        </w:rPr>
        <w:t xml:space="preserve">I mean like, we can learn about </w:t>
      </w:r>
    </w:p>
    <w:p w14:paraId="6C6BB4C0" w14:textId="77777777" w:rsidR="000F42BC" w:rsidRPr="000F42BC" w:rsidRDefault="000F42BC" w:rsidP="000F42BC">
      <w:pPr>
        <w:pBdr>
          <w:top w:val="nil"/>
          <w:left w:val="nil"/>
          <w:bottom w:val="nil"/>
          <w:right w:val="nil"/>
          <w:between w:val="nil"/>
        </w:pBdr>
        <w:ind w:left="720" w:hanging="720"/>
        <w:rPr>
          <w:color w:val="000000"/>
        </w:rPr>
      </w:pPr>
      <w:r w:rsidRPr="000F42BC">
        <w:rPr>
          <w:color w:val="000000"/>
        </w:rPr>
        <w:t>what it means to be a good teacher, like what you’re told in class… But seeing them…”</w:t>
      </w:r>
    </w:p>
    <w:p w14:paraId="7B022A40" w14:textId="77777777" w:rsidR="000F42BC" w:rsidRPr="000F42BC" w:rsidRDefault="000F42BC" w:rsidP="000F42BC">
      <w:pPr>
        <w:ind w:hanging="600"/>
      </w:pPr>
    </w:p>
    <w:p w14:paraId="1D1BC6DF" w14:textId="77777777" w:rsidR="000F42BC" w:rsidRPr="000F42BC" w:rsidRDefault="000F42BC" w:rsidP="00730578">
      <w:pPr>
        <w:numPr>
          <w:ilvl w:val="0"/>
          <w:numId w:val="11"/>
        </w:numPr>
        <w:pBdr>
          <w:top w:val="nil"/>
          <w:left w:val="nil"/>
          <w:bottom w:val="nil"/>
          <w:right w:val="nil"/>
          <w:between w:val="nil"/>
        </w:pBdr>
        <w:spacing w:line="480" w:lineRule="auto"/>
        <w:rPr>
          <w:rFonts w:ascii="Calibri" w:eastAsia="Calibri" w:hAnsi="Calibri" w:cs="Calibri"/>
          <w:color w:val="000000"/>
        </w:rPr>
      </w:pPr>
      <w:r w:rsidRPr="000F42BC">
        <w:rPr>
          <w:color w:val="000000"/>
        </w:rPr>
        <w:t>“For me personally, it’s just like, WOW, that’s what being a teacher means.”</w:t>
      </w:r>
    </w:p>
    <w:p w14:paraId="4DA928F6" w14:textId="77777777" w:rsidR="000F42BC" w:rsidRPr="002B2E70" w:rsidRDefault="000F42BC" w:rsidP="00730578">
      <w:pPr>
        <w:numPr>
          <w:ilvl w:val="0"/>
          <w:numId w:val="11"/>
        </w:numPr>
        <w:pBdr>
          <w:top w:val="nil"/>
          <w:left w:val="nil"/>
          <w:bottom w:val="nil"/>
          <w:right w:val="nil"/>
          <w:between w:val="nil"/>
        </w:pBdr>
        <w:ind w:right="720"/>
        <w:rPr>
          <w:rFonts w:ascii="Calibri" w:eastAsia="Calibri" w:hAnsi="Calibri" w:cs="Calibri"/>
          <w:color w:val="000000"/>
        </w:rPr>
      </w:pPr>
      <w:r w:rsidRPr="000F42BC">
        <w:rPr>
          <w:color w:val="000000"/>
        </w:rPr>
        <w:t xml:space="preserve">“I felt like a teacher. </w:t>
      </w:r>
      <w:r w:rsidR="002B2E70">
        <w:rPr>
          <w:color w:val="000000"/>
        </w:rPr>
        <w:t xml:space="preserve"> </w:t>
      </w:r>
      <w:r w:rsidRPr="000F42BC">
        <w:rPr>
          <w:color w:val="000000"/>
        </w:rPr>
        <w:t>And that’s what I’m going for, and I want to feel like a teacher instead of just sitting in the back of a classroom for a field experience. I want to be connecting…”</w:t>
      </w:r>
    </w:p>
    <w:p w14:paraId="6D9537F0" w14:textId="77777777" w:rsidR="002B2E70" w:rsidRPr="000F42BC" w:rsidRDefault="002B2E70" w:rsidP="002B2E70">
      <w:pPr>
        <w:pBdr>
          <w:top w:val="nil"/>
          <w:left w:val="nil"/>
          <w:bottom w:val="nil"/>
          <w:right w:val="nil"/>
          <w:between w:val="nil"/>
        </w:pBdr>
        <w:ind w:left="720" w:right="720"/>
        <w:rPr>
          <w:rFonts w:ascii="Calibri" w:eastAsia="Calibri" w:hAnsi="Calibri" w:cs="Calibri"/>
          <w:color w:val="000000"/>
        </w:rPr>
      </w:pPr>
    </w:p>
    <w:p w14:paraId="108FD279" w14:textId="77777777" w:rsidR="000F42BC" w:rsidRPr="000F42BC" w:rsidRDefault="000F42BC" w:rsidP="000F42BC">
      <w:pPr>
        <w:pBdr>
          <w:top w:val="nil"/>
          <w:left w:val="nil"/>
          <w:bottom w:val="nil"/>
          <w:right w:val="nil"/>
          <w:between w:val="nil"/>
        </w:pBdr>
        <w:ind w:left="720" w:right="720"/>
        <w:rPr>
          <w:rFonts w:ascii="Calibri" w:eastAsia="Calibri" w:hAnsi="Calibri" w:cs="Calibri"/>
          <w:color w:val="000000"/>
        </w:rPr>
      </w:pPr>
    </w:p>
    <w:p w14:paraId="788A2F2A" w14:textId="77777777" w:rsidR="000F42BC" w:rsidRPr="000F42BC" w:rsidRDefault="000F42BC" w:rsidP="004765BC">
      <w:pPr>
        <w:spacing w:line="480" w:lineRule="auto"/>
        <w:jc w:val="center"/>
      </w:pPr>
      <w:r w:rsidRPr="000F42BC">
        <w:rPr>
          <w:b/>
          <w:color w:val="000000"/>
        </w:rPr>
        <w:t>Findings and Implications</w:t>
      </w:r>
    </w:p>
    <w:p w14:paraId="68405BD6" w14:textId="77777777" w:rsidR="000F42BC" w:rsidRPr="000F42BC" w:rsidRDefault="000F42BC" w:rsidP="000F42BC">
      <w:pPr>
        <w:spacing w:line="480" w:lineRule="auto"/>
        <w:ind w:firstLine="720"/>
      </w:pPr>
      <w:r w:rsidRPr="000F42BC">
        <w:rPr>
          <w:color w:val="000000"/>
        </w:rPr>
        <w:t>Reflecting on the emergent themes and how they inform teacher education practice, we note that the benefits of the immersion field experience program include immediacy, continuity, guided reflection, application of course content, sense of community, and university/K-12 connections.</w:t>
      </w:r>
    </w:p>
    <w:p w14:paraId="08100B12" w14:textId="77777777" w:rsidR="000F42BC" w:rsidRPr="000F42BC" w:rsidRDefault="000F42BC" w:rsidP="004765BC">
      <w:pPr>
        <w:spacing w:line="480" w:lineRule="auto"/>
        <w:jc w:val="center"/>
      </w:pPr>
      <w:r w:rsidRPr="000F42BC">
        <w:rPr>
          <w:b/>
          <w:color w:val="000000"/>
        </w:rPr>
        <w:t>Immediacy</w:t>
      </w:r>
    </w:p>
    <w:p w14:paraId="6A855B59" w14:textId="77777777" w:rsidR="000F42BC" w:rsidRPr="000F42BC" w:rsidRDefault="000F42BC" w:rsidP="000F42BC">
      <w:pPr>
        <w:spacing w:line="480" w:lineRule="auto"/>
        <w:ind w:firstLine="720"/>
      </w:pPr>
      <w:r w:rsidRPr="000F42BC">
        <w:rPr>
          <w:color w:val="000000"/>
        </w:rPr>
        <w:t>There is great benefit to be derived from timely discussion of the field experience. Although this is not always possible, we should, at least, be more aware of the decay that occurs when discussions of issues are not addressed for a week or more.</w:t>
      </w:r>
      <w:r w:rsidR="00C437B6">
        <w:rPr>
          <w:color w:val="000000"/>
        </w:rPr>
        <w:t xml:space="preserve"> </w:t>
      </w:r>
      <w:r w:rsidRPr="000F42BC">
        <w:rPr>
          <w:color w:val="000000"/>
        </w:rPr>
        <w:t xml:space="preserve"> In addition to timeliness, there was greater opportunity for accurate feedback. </w:t>
      </w:r>
      <w:r w:rsidR="00C437B6">
        <w:rPr>
          <w:color w:val="000000"/>
        </w:rPr>
        <w:t xml:space="preserve"> </w:t>
      </w:r>
      <w:r w:rsidRPr="000F42BC">
        <w:rPr>
          <w:color w:val="000000"/>
        </w:rPr>
        <w:t xml:space="preserve">If we, as university instructors, did not know the reason behind a teacher’s actions, we asked the teacher and reported back to the class. </w:t>
      </w:r>
      <w:r w:rsidR="00C437B6">
        <w:rPr>
          <w:color w:val="000000"/>
        </w:rPr>
        <w:t xml:space="preserve"> </w:t>
      </w:r>
      <w:r w:rsidRPr="000F42BC">
        <w:rPr>
          <w:color w:val="000000"/>
        </w:rPr>
        <w:t xml:space="preserve">Finally, there was also immediacy in our students’ interactions with the second- and third-grade students. They were aware that each day was building on and reinforcing what they had done the day before and would set the ground for the very next day. This is also an aspect of continuity. </w:t>
      </w:r>
    </w:p>
    <w:p w14:paraId="190E4CD0" w14:textId="77777777" w:rsidR="000F42BC" w:rsidRPr="000F42BC" w:rsidRDefault="000F42BC" w:rsidP="004765BC">
      <w:pPr>
        <w:spacing w:line="480" w:lineRule="auto"/>
        <w:jc w:val="center"/>
      </w:pPr>
      <w:r w:rsidRPr="000F42BC">
        <w:rPr>
          <w:b/>
          <w:color w:val="000000"/>
        </w:rPr>
        <w:t>Continuity</w:t>
      </w:r>
    </w:p>
    <w:p w14:paraId="54A5751E" w14:textId="77777777" w:rsidR="000F42BC" w:rsidRPr="000F42BC" w:rsidRDefault="000F42BC" w:rsidP="000F42BC">
      <w:pPr>
        <w:spacing w:line="480" w:lineRule="auto"/>
        <w:ind w:firstLine="720"/>
      </w:pPr>
      <w:r w:rsidRPr="000F42BC">
        <w:rPr>
          <w:color w:val="000000"/>
        </w:rPr>
        <w:t>In traditional field placements, university students are in the classroom for a short time. There is little opportunity for them to see teaching and learning in the way that they actually occur --continuously and flexibly, based on ongoing assessment of the needs and progress of the students.</w:t>
      </w:r>
      <w:r w:rsidR="00C437B6">
        <w:rPr>
          <w:color w:val="000000"/>
        </w:rPr>
        <w:t xml:space="preserve"> </w:t>
      </w:r>
      <w:r w:rsidRPr="000F42BC">
        <w:rPr>
          <w:color w:val="000000"/>
        </w:rPr>
        <w:t xml:space="preserve"> In the embedded, immersed format, university students worked with the same children almost every day and followed a unit from beginning to end. </w:t>
      </w:r>
      <w:r w:rsidR="00C437B6">
        <w:rPr>
          <w:color w:val="000000"/>
        </w:rPr>
        <w:t xml:space="preserve"> </w:t>
      </w:r>
      <w:r w:rsidRPr="000F42BC">
        <w:rPr>
          <w:color w:val="000000"/>
        </w:rPr>
        <w:t>They are able to see learning take place and begin to understand how the teaching and use of assessment data enabled that learning.</w:t>
      </w:r>
    </w:p>
    <w:p w14:paraId="6A8AEA85" w14:textId="77777777" w:rsidR="00C437B6" w:rsidRDefault="00C437B6" w:rsidP="004765BC">
      <w:pPr>
        <w:spacing w:line="480" w:lineRule="auto"/>
        <w:jc w:val="center"/>
        <w:rPr>
          <w:b/>
          <w:color w:val="000000"/>
        </w:rPr>
      </w:pPr>
    </w:p>
    <w:p w14:paraId="6E53DC5C" w14:textId="77777777" w:rsidR="00C437B6" w:rsidRDefault="00C437B6" w:rsidP="004765BC">
      <w:pPr>
        <w:spacing w:line="480" w:lineRule="auto"/>
        <w:jc w:val="center"/>
        <w:rPr>
          <w:b/>
          <w:color w:val="000000"/>
        </w:rPr>
      </w:pPr>
    </w:p>
    <w:p w14:paraId="2239B2C7" w14:textId="77777777" w:rsidR="000F42BC" w:rsidRPr="000F42BC" w:rsidRDefault="000F42BC" w:rsidP="004765BC">
      <w:pPr>
        <w:spacing w:line="480" w:lineRule="auto"/>
        <w:jc w:val="center"/>
      </w:pPr>
      <w:r w:rsidRPr="000F42BC">
        <w:rPr>
          <w:b/>
          <w:color w:val="000000"/>
        </w:rPr>
        <w:t>Guided Reflection</w:t>
      </w:r>
    </w:p>
    <w:p w14:paraId="1A8C51CA" w14:textId="77777777" w:rsidR="000F42BC" w:rsidRPr="000F42BC" w:rsidRDefault="000F42BC" w:rsidP="000F42BC">
      <w:pPr>
        <w:spacing w:line="480" w:lineRule="auto"/>
        <w:ind w:firstLine="720"/>
      </w:pPr>
      <w:r w:rsidRPr="000F42BC">
        <w:rPr>
          <w:color w:val="000000"/>
        </w:rPr>
        <w:t xml:space="preserve">We teach reflective practice in our classes, but we often have little involvement in how that takes place in the field. </w:t>
      </w:r>
      <w:r w:rsidR="00C437B6">
        <w:rPr>
          <w:color w:val="000000"/>
        </w:rPr>
        <w:t xml:space="preserve"> </w:t>
      </w:r>
      <w:r w:rsidRPr="000F42BC">
        <w:rPr>
          <w:color w:val="000000"/>
        </w:rPr>
        <w:t xml:space="preserve">How much better might it be if we can actually guide students as they engage in the process? </w:t>
      </w:r>
      <w:r w:rsidR="00C437B6">
        <w:rPr>
          <w:color w:val="000000"/>
        </w:rPr>
        <w:t xml:space="preserve"> </w:t>
      </w:r>
      <w:r w:rsidRPr="000F42BC">
        <w:rPr>
          <w:color w:val="000000"/>
        </w:rPr>
        <w:t xml:space="preserve">Being in the classroom during the field experience enabled us to model our own reflective practice. </w:t>
      </w:r>
      <w:r w:rsidR="00C437B6">
        <w:rPr>
          <w:color w:val="000000"/>
        </w:rPr>
        <w:t xml:space="preserve"> </w:t>
      </w:r>
      <w:r w:rsidRPr="000F42BC">
        <w:rPr>
          <w:color w:val="000000"/>
        </w:rPr>
        <w:t>During debriefing, the discussions were richer because they were based on the experiences we had all shared together.</w:t>
      </w:r>
    </w:p>
    <w:p w14:paraId="142A6F87" w14:textId="77777777" w:rsidR="000F42BC" w:rsidRPr="000F42BC" w:rsidRDefault="000F42BC" w:rsidP="004765BC">
      <w:pPr>
        <w:spacing w:line="480" w:lineRule="auto"/>
        <w:jc w:val="center"/>
      </w:pPr>
      <w:r w:rsidRPr="000F42BC">
        <w:rPr>
          <w:b/>
          <w:color w:val="000000"/>
        </w:rPr>
        <w:t>Application of Course Content</w:t>
      </w:r>
    </w:p>
    <w:p w14:paraId="3B0549E9" w14:textId="77777777" w:rsidR="000F42BC" w:rsidRPr="000F42BC" w:rsidRDefault="000F42BC" w:rsidP="000F42BC">
      <w:pPr>
        <w:spacing w:line="480" w:lineRule="auto"/>
        <w:ind w:firstLine="720"/>
      </w:pPr>
      <w:r w:rsidRPr="000F42BC">
        <w:rPr>
          <w:color w:val="000000"/>
        </w:rPr>
        <w:t>An advantage of this experience is easy to overlook--all our students were observing in the same school and the same classrooms.</w:t>
      </w:r>
      <w:r w:rsidR="00C437B6">
        <w:rPr>
          <w:color w:val="000000"/>
        </w:rPr>
        <w:t xml:space="preserve"> </w:t>
      </w:r>
      <w:r w:rsidRPr="000F42BC">
        <w:rPr>
          <w:color w:val="000000"/>
        </w:rPr>
        <w:t xml:space="preserve"> As instructors, we were able to cite examples of the concepts we were teaching using actual examples of how they played out in these particular classrooms. </w:t>
      </w:r>
      <w:r w:rsidR="00C437B6">
        <w:rPr>
          <w:color w:val="000000"/>
        </w:rPr>
        <w:t xml:space="preserve"> </w:t>
      </w:r>
      <w:r w:rsidRPr="000F42BC">
        <w:rPr>
          <w:color w:val="000000"/>
        </w:rPr>
        <w:t xml:space="preserve">Consequently, the principles of good assessment, classroom management, and other course material were not abstract concepts, they were practical tools of good teaching. </w:t>
      </w:r>
      <w:r w:rsidR="00C437B6">
        <w:rPr>
          <w:color w:val="000000"/>
        </w:rPr>
        <w:t xml:space="preserve"> </w:t>
      </w:r>
      <w:r w:rsidRPr="000F42BC">
        <w:rPr>
          <w:color w:val="000000"/>
        </w:rPr>
        <w:t xml:space="preserve">The techniques were on display for our students every day. </w:t>
      </w:r>
    </w:p>
    <w:p w14:paraId="54F14E81" w14:textId="77777777" w:rsidR="000F42BC" w:rsidRPr="000F42BC" w:rsidRDefault="000F42BC" w:rsidP="004765BC">
      <w:pPr>
        <w:spacing w:line="480" w:lineRule="auto"/>
        <w:jc w:val="center"/>
      </w:pPr>
      <w:r w:rsidRPr="000F42BC">
        <w:rPr>
          <w:b/>
          <w:color w:val="000000"/>
        </w:rPr>
        <w:t>Sense of Community</w:t>
      </w:r>
    </w:p>
    <w:p w14:paraId="485D830E" w14:textId="77777777" w:rsidR="000F42BC" w:rsidRPr="000F42BC" w:rsidRDefault="000F42BC" w:rsidP="000F42BC">
      <w:pPr>
        <w:spacing w:line="480" w:lineRule="auto"/>
        <w:ind w:firstLine="720"/>
      </w:pPr>
      <w:r w:rsidRPr="000F42BC">
        <w:rPr>
          <w:color w:val="000000"/>
        </w:rPr>
        <w:t>Our students told</w:t>
      </w:r>
      <w:r w:rsidRPr="000F42BC">
        <w:rPr>
          <w:b/>
          <w:color w:val="000000"/>
        </w:rPr>
        <w:t xml:space="preserve"> </w:t>
      </w:r>
      <w:r w:rsidRPr="000F42BC">
        <w:rPr>
          <w:color w:val="000000"/>
        </w:rPr>
        <w:t>us that,</w:t>
      </w:r>
      <w:r w:rsidRPr="000F42BC">
        <w:rPr>
          <w:b/>
          <w:color w:val="000000"/>
        </w:rPr>
        <w:t xml:space="preserve"> </w:t>
      </w:r>
      <w:r w:rsidRPr="000F42BC">
        <w:rPr>
          <w:color w:val="000000"/>
        </w:rPr>
        <w:t xml:space="preserve">in prior fields, they often felt like an extra person. </w:t>
      </w:r>
      <w:r w:rsidR="00C437B6">
        <w:rPr>
          <w:color w:val="000000"/>
        </w:rPr>
        <w:t xml:space="preserve"> </w:t>
      </w:r>
      <w:r w:rsidRPr="000F42BC">
        <w:rPr>
          <w:color w:val="000000"/>
        </w:rPr>
        <w:t xml:space="preserve">This trend from almost 25% of the participants shows that sometimes clinical experiences don’t help gain a sense of what it means to be a teacher. </w:t>
      </w:r>
      <w:r w:rsidR="00C437B6">
        <w:rPr>
          <w:color w:val="000000"/>
        </w:rPr>
        <w:t xml:space="preserve"> </w:t>
      </w:r>
      <w:r w:rsidRPr="000F42BC">
        <w:rPr>
          <w:color w:val="000000"/>
        </w:rPr>
        <w:t xml:space="preserve">By working in classrooms with the same children every day, students were able to build relationships with the pupils. </w:t>
      </w:r>
      <w:r w:rsidR="00C437B6">
        <w:rPr>
          <w:color w:val="000000"/>
        </w:rPr>
        <w:t xml:space="preserve"> </w:t>
      </w:r>
      <w:r w:rsidRPr="000F42BC">
        <w:rPr>
          <w:color w:val="000000"/>
        </w:rPr>
        <w:t>Since building relationships and community in the classroom is a large component of the classroom management and diversity course, this was a direction that we had hoped and expected to come out in the focus groups. Though the university students were only responsible for small groups of children, working with the same group each day for a month led to much deeper relationships, including knowing the abilities and the behaviors of the children.</w:t>
      </w:r>
      <w:r w:rsidR="00C437B6">
        <w:rPr>
          <w:color w:val="000000"/>
        </w:rPr>
        <w:t xml:space="preserve"> </w:t>
      </w:r>
      <w:r w:rsidRPr="000F42BC">
        <w:rPr>
          <w:color w:val="000000"/>
        </w:rPr>
        <w:t xml:space="preserve"> This was reinforced by statements made by the cooperating teachers and could be seen in the way these pre-service teachers moved through the school, talked with the teachers and staff, and, as they described it, became fixtures in the school.</w:t>
      </w:r>
    </w:p>
    <w:p w14:paraId="467981E8" w14:textId="77777777" w:rsidR="000F42BC" w:rsidRPr="000F42BC" w:rsidRDefault="000F42BC" w:rsidP="004765BC">
      <w:pPr>
        <w:spacing w:line="480" w:lineRule="auto"/>
        <w:jc w:val="center"/>
      </w:pPr>
      <w:r w:rsidRPr="000F42BC">
        <w:rPr>
          <w:b/>
          <w:color w:val="000000"/>
        </w:rPr>
        <w:t>University/K-12 Connection</w:t>
      </w:r>
    </w:p>
    <w:p w14:paraId="3E79889C" w14:textId="77777777" w:rsidR="000F42BC" w:rsidRPr="000F42BC" w:rsidRDefault="000F42BC" w:rsidP="000F42BC">
      <w:pPr>
        <w:spacing w:line="480" w:lineRule="auto"/>
      </w:pPr>
      <w:r w:rsidRPr="000F42BC">
        <w:rPr>
          <w:i/>
          <w:color w:val="000000"/>
        </w:rPr>
        <w:t xml:space="preserve"> </w:t>
      </w:r>
      <w:r w:rsidRPr="000F42BC">
        <w:rPr>
          <w:i/>
          <w:color w:val="000000"/>
        </w:rPr>
        <w:tab/>
      </w:r>
      <w:r w:rsidRPr="000F42BC">
        <w:rPr>
          <w:color w:val="000000"/>
        </w:rPr>
        <w:t>Finally, we also reflected on what the experience meant to us as instructors.</w:t>
      </w:r>
      <w:r w:rsidR="00C437B6">
        <w:rPr>
          <w:color w:val="000000"/>
        </w:rPr>
        <w:t xml:space="preserve">  </w:t>
      </w:r>
      <w:r w:rsidRPr="000F42BC">
        <w:rPr>
          <w:color w:val="000000"/>
        </w:rPr>
        <w:t xml:space="preserve">We believe that the immersion format gave us opportunities to connect what we teach to real world school, just as it did with our students. </w:t>
      </w:r>
      <w:r w:rsidR="00C437B6">
        <w:rPr>
          <w:color w:val="000000"/>
        </w:rPr>
        <w:t xml:space="preserve"> </w:t>
      </w:r>
      <w:r w:rsidRPr="000F42BC">
        <w:rPr>
          <w:color w:val="000000"/>
        </w:rPr>
        <w:t>It is easy to move away from that when we teach content in isolation, so we felt energized by being able to put it into practice, too.</w:t>
      </w:r>
      <w:r w:rsidR="00C437B6">
        <w:rPr>
          <w:color w:val="000000"/>
        </w:rPr>
        <w:t xml:space="preserve"> </w:t>
      </w:r>
      <w:r w:rsidRPr="000F42BC">
        <w:rPr>
          <w:color w:val="000000"/>
        </w:rPr>
        <w:t xml:space="preserve"> We were also more able to give specific feedback to students and understand more clearly the types of questions they had from observations. </w:t>
      </w:r>
      <w:r w:rsidR="00C437B6">
        <w:rPr>
          <w:color w:val="000000"/>
        </w:rPr>
        <w:t xml:space="preserve"> </w:t>
      </w:r>
      <w:r w:rsidRPr="000F42BC">
        <w:rPr>
          <w:color w:val="000000"/>
        </w:rPr>
        <w:t>We had to be more flexible in our strategies and assessments to fit with what was actually happening at the time, which involved not just covering content, but discussing whatever came up that related.</w:t>
      </w:r>
      <w:r w:rsidR="00C437B6">
        <w:rPr>
          <w:color w:val="000000"/>
        </w:rPr>
        <w:t xml:space="preserve"> </w:t>
      </w:r>
      <w:r w:rsidRPr="000F42BC">
        <w:rPr>
          <w:color w:val="000000"/>
        </w:rPr>
        <w:t xml:space="preserve"> Assessments often referred to actual experiences, and so seemed more authentic in addition to the methods of teaching. </w:t>
      </w:r>
      <w:r w:rsidR="00C437B6">
        <w:rPr>
          <w:color w:val="000000"/>
        </w:rPr>
        <w:t xml:space="preserve"> </w:t>
      </w:r>
      <w:r w:rsidRPr="000F42BC">
        <w:rPr>
          <w:color w:val="000000"/>
        </w:rPr>
        <w:t xml:space="preserve">We were able to see our content more clearly through the eyes of practicing teachers and therefore, refine our strategies to align with what happens in schools. </w:t>
      </w:r>
      <w:r w:rsidR="00C437B6">
        <w:rPr>
          <w:color w:val="000000"/>
        </w:rPr>
        <w:t xml:space="preserve"> </w:t>
      </w:r>
      <w:r w:rsidRPr="000F42BC">
        <w:rPr>
          <w:color w:val="000000"/>
        </w:rPr>
        <w:t>In general, we also connected and were better instructors because of it.</w:t>
      </w:r>
    </w:p>
    <w:p w14:paraId="577A8EA7" w14:textId="77777777" w:rsidR="000F42BC" w:rsidRPr="000F42BC" w:rsidRDefault="000F42BC" w:rsidP="004765BC">
      <w:pPr>
        <w:spacing w:line="480" w:lineRule="auto"/>
        <w:jc w:val="center"/>
      </w:pPr>
      <w:r w:rsidRPr="000F42BC">
        <w:rPr>
          <w:b/>
          <w:color w:val="000000"/>
        </w:rPr>
        <w:t>Conclusion</w:t>
      </w:r>
    </w:p>
    <w:p w14:paraId="13BF8F89" w14:textId="77777777" w:rsidR="000F42BC" w:rsidRPr="000F42BC" w:rsidRDefault="000F42BC" w:rsidP="000F42BC">
      <w:pPr>
        <w:spacing w:line="480" w:lineRule="auto"/>
        <w:ind w:firstLine="720"/>
      </w:pPr>
      <w:bookmarkStart w:id="9" w:name="_gjdgxs" w:colFirst="0" w:colLast="0"/>
      <w:bookmarkEnd w:id="9"/>
      <w:r w:rsidRPr="000F42BC">
        <w:rPr>
          <w:color w:val="000000"/>
        </w:rPr>
        <w:t xml:space="preserve">Teaching and learning in an authentic environment was shown to be beneficial for all involved. </w:t>
      </w:r>
      <w:r w:rsidR="00C437B6">
        <w:rPr>
          <w:color w:val="000000"/>
        </w:rPr>
        <w:t xml:space="preserve"> </w:t>
      </w:r>
      <w:r w:rsidRPr="000F42BC">
        <w:rPr>
          <w:color w:val="000000"/>
        </w:rPr>
        <w:t xml:space="preserve">We helped our partner teachers in educating children while we learned about and connected ideas in course content, reflected on our observations and interactions, saw the continuity lessons, interacted with all staff, and became involved in the culture and community of the school. </w:t>
      </w:r>
      <w:r w:rsidR="00C437B6">
        <w:rPr>
          <w:color w:val="000000"/>
        </w:rPr>
        <w:t xml:space="preserve"> </w:t>
      </w:r>
      <w:r w:rsidRPr="000F42BC">
        <w:rPr>
          <w:color w:val="000000"/>
        </w:rPr>
        <w:t xml:space="preserve">University instructors also benefited by making new real-world connections with their content, reflecting on goals for the courses, and thinking flexibly. </w:t>
      </w:r>
      <w:r w:rsidR="00C437B6">
        <w:rPr>
          <w:color w:val="000000"/>
        </w:rPr>
        <w:t xml:space="preserve"> </w:t>
      </w:r>
      <w:r w:rsidRPr="000F42BC">
        <w:rPr>
          <w:color w:val="000000"/>
        </w:rPr>
        <w:t xml:space="preserve">We are aware that courses that are as heavily embedded as these were may not be possible in all settings. </w:t>
      </w:r>
      <w:r w:rsidR="00C437B6">
        <w:rPr>
          <w:color w:val="000000"/>
        </w:rPr>
        <w:t xml:space="preserve"> </w:t>
      </w:r>
      <w:r w:rsidRPr="000F42BC">
        <w:rPr>
          <w:color w:val="000000"/>
        </w:rPr>
        <w:t xml:space="preserve">We are not generalizing and are not even confident there can be wide-spread transferability; however, we believe our work shows that a closer connection between the university and the school setting provides benefits to our preservice teachers. </w:t>
      </w:r>
      <w:r w:rsidR="00C437B6">
        <w:rPr>
          <w:color w:val="000000"/>
        </w:rPr>
        <w:t xml:space="preserve"> </w:t>
      </w:r>
      <w:r w:rsidRPr="000F42BC">
        <w:rPr>
          <w:color w:val="000000"/>
        </w:rPr>
        <w:t>We advocate for teacher education to move in this direction such that, even if it cannot yet be the norm, it should be a goal and included whenever possible.</w:t>
      </w:r>
    </w:p>
    <w:p w14:paraId="36F23FB4" w14:textId="77777777" w:rsidR="000F42BC" w:rsidRDefault="000F42BC" w:rsidP="000F42BC">
      <w:pPr>
        <w:spacing w:line="480" w:lineRule="auto"/>
        <w:jc w:val="both"/>
        <w:rPr>
          <w:b/>
          <w:color w:val="000000"/>
        </w:rPr>
      </w:pPr>
    </w:p>
    <w:p w14:paraId="0682BA6E" w14:textId="77777777" w:rsidR="00C437B6" w:rsidRDefault="00C437B6" w:rsidP="000F42BC">
      <w:pPr>
        <w:spacing w:line="480" w:lineRule="auto"/>
        <w:jc w:val="both"/>
        <w:rPr>
          <w:b/>
          <w:color w:val="000000"/>
        </w:rPr>
      </w:pPr>
    </w:p>
    <w:p w14:paraId="6036BFDD" w14:textId="77777777" w:rsidR="00C437B6" w:rsidRDefault="00C437B6" w:rsidP="000F42BC">
      <w:pPr>
        <w:spacing w:line="480" w:lineRule="auto"/>
        <w:jc w:val="both"/>
        <w:rPr>
          <w:b/>
          <w:color w:val="000000"/>
        </w:rPr>
      </w:pPr>
    </w:p>
    <w:p w14:paraId="2F6B5A14" w14:textId="77777777" w:rsidR="00C437B6" w:rsidRDefault="00C437B6" w:rsidP="000F42BC">
      <w:pPr>
        <w:spacing w:line="480" w:lineRule="auto"/>
        <w:jc w:val="both"/>
        <w:rPr>
          <w:b/>
          <w:color w:val="000000"/>
        </w:rPr>
      </w:pPr>
    </w:p>
    <w:p w14:paraId="446B6E1C" w14:textId="77777777" w:rsidR="00C437B6" w:rsidRDefault="00C437B6" w:rsidP="000F42BC">
      <w:pPr>
        <w:spacing w:line="480" w:lineRule="auto"/>
        <w:jc w:val="both"/>
        <w:rPr>
          <w:b/>
          <w:color w:val="000000"/>
        </w:rPr>
      </w:pPr>
    </w:p>
    <w:p w14:paraId="686BEE87" w14:textId="77777777" w:rsidR="00C437B6" w:rsidRDefault="00C437B6" w:rsidP="000F42BC">
      <w:pPr>
        <w:spacing w:line="480" w:lineRule="auto"/>
        <w:jc w:val="both"/>
        <w:rPr>
          <w:b/>
          <w:color w:val="000000"/>
        </w:rPr>
      </w:pPr>
    </w:p>
    <w:p w14:paraId="0FAAA064" w14:textId="77777777" w:rsidR="00C437B6" w:rsidRDefault="00C437B6" w:rsidP="000F42BC">
      <w:pPr>
        <w:spacing w:line="480" w:lineRule="auto"/>
        <w:jc w:val="both"/>
        <w:rPr>
          <w:b/>
          <w:color w:val="000000"/>
        </w:rPr>
      </w:pPr>
    </w:p>
    <w:p w14:paraId="1FD7CCA9" w14:textId="77777777" w:rsidR="00C437B6" w:rsidRDefault="00C437B6" w:rsidP="000F42BC">
      <w:pPr>
        <w:spacing w:line="480" w:lineRule="auto"/>
        <w:jc w:val="both"/>
        <w:rPr>
          <w:b/>
          <w:color w:val="000000"/>
        </w:rPr>
      </w:pPr>
    </w:p>
    <w:p w14:paraId="34D328F1" w14:textId="77777777" w:rsidR="00C437B6" w:rsidRDefault="00C437B6" w:rsidP="000F42BC">
      <w:pPr>
        <w:spacing w:line="480" w:lineRule="auto"/>
        <w:jc w:val="both"/>
        <w:rPr>
          <w:b/>
          <w:color w:val="000000"/>
        </w:rPr>
      </w:pPr>
    </w:p>
    <w:p w14:paraId="23D66C36" w14:textId="77777777" w:rsidR="00C437B6" w:rsidRDefault="00C437B6" w:rsidP="000F42BC">
      <w:pPr>
        <w:spacing w:line="480" w:lineRule="auto"/>
        <w:jc w:val="both"/>
        <w:rPr>
          <w:b/>
          <w:color w:val="000000"/>
        </w:rPr>
      </w:pPr>
    </w:p>
    <w:p w14:paraId="7402121B" w14:textId="77777777" w:rsidR="00C437B6" w:rsidRDefault="00C437B6" w:rsidP="000F42BC">
      <w:pPr>
        <w:spacing w:line="480" w:lineRule="auto"/>
        <w:jc w:val="both"/>
        <w:rPr>
          <w:b/>
          <w:color w:val="000000"/>
        </w:rPr>
      </w:pPr>
    </w:p>
    <w:p w14:paraId="0E7D8262" w14:textId="77777777" w:rsidR="00C437B6" w:rsidRDefault="00C437B6" w:rsidP="000F42BC">
      <w:pPr>
        <w:spacing w:line="480" w:lineRule="auto"/>
        <w:jc w:val="both"/>
        <w:rPr>
          <w:b/>
          <w:color w:val="000000"/>
        </w:rPr>
      </w:pPr>
    </w:p>
    <w:p w14:paraId="7FFFA4B7" w14:textId="77777777" w:rsidR="00C437B6" w:rsidRDefault="00C437B6" w:rsidP="000F42BC">
      <w:pPr>
        <w:spacing w:line="480" w:lineRule="auto"/>
        <w:jc w:val="both"/>
        <w:rPr>
          <w:b/>
          <w:color w:val="000000"/>
        </w:rPr>
      </w:pPr>
    </w:p>
    <w:p w14:paraId="0D5F0CC0" w14:textId="77777777" w:rsidR="00C437B6" w:rsidRDefault="00C437B6" w:rsidP="000F42BC">
      <w:pPr>
        <w:spacing w:line="480" w:lineRule="auto"/>
        <w:jc w:val="both"/>
        <w:rPr>
          <w:b/>
          <w:color w:val="000000"/>
        </w:rPr>
      </w:pPr>
    </w:p>
    <w:p w14:paraId="1278D66D" w14:textId="77777777" w:rsidR="00C437B6" w:rsidRDefault="00C437B6" w:rsidP="000F42BC">
      <w:pPr>
        <w:spacing w:line="480" w:lineRule="auto"/>
        <w:jc w:val="both"/>
        <w:rPr>
          <w:b/>
          <w:color w:val="000000"/>
        </w:rPr>
      </w:pPr>
    </w:p>
    <w:p w14:paraId="40C6E1AC" w14:textId="77777777" w:rsidR="00C437B6" w:rsidRDefault="00C437B6" w:rsidP="000F42BC">
      <w:pPr>
        <w:spacing w:line="480" w:lineRule="auto"/>
        <w:jc w:val="both"/>
        <w:rPr>
          <w:b/>
          <w:color w:val="000000"/>
        </w:rPr>
      </w:pPr>
    </w:p>
    <w:p w14:paraId="28CC67AA" w14:textId="77777777" w:rsidR="00C437B6" w:rsidRDefault="00C437B6" w:rsidP="000F42BC">
      <w:pPr>
        <w:spacing w:line="480" w:lineRule="auto"/>
        <w:jc w:val="both"/>
        <w:rPr>
          <w:b/>
          <w:color w:val="000000"/>
        </w:rPr>
      </w:pPr>
    </w:p>
    <w:p w14:paraId="44B1B8FA" w14:textId="77777777" w:rsidR="00C437B6" w:rsidRDefault="00C437B6" w:rsidP="000F42BC">
      <w:pPr>
        <w:spacing w:line="480" w:lineRule="auto"/>
        <w:jc w:val="both"/>
        <w:rPr>
          <w:b/>
          <w:color w:val="000000"/>
        </w:rPr>
      </w:pPr>
    </w:p>
    <w:p w14:paraId="71122EF3" w14:textId="77777777" w:rsidR="00C437B6" w:rsidRPr="000F42BC" w:rsidRDefault="00C437B6" w:rsidP="000F42BC">
      <w:pPr>
        <w:spacing w:line="480" w:lineRule="auto"/>
        <w:jc w:val="both"/>
        <w:rPr>
          <w:b/>
          <w:color w:val="000000"/>
        </w:rPr>
      </w:pPr>
    </w:p>
    <w:p w14:paraId="61A02234" w14:textId="77777777" w:rsidR="000F42BC" w:rsidRPr="000F42BC" w:rsidRDefault="000F42BC" w:rsidP="000F42BC">
      <w:pPr>
        <w:spacing w:line="480" w:lineRule="auto"/>
        <w:jc w:val="center"/>
      </w:pPr>
      <w:r w:rsidRPr="000F42BC">
        <w:rPr>
          <w:b/>
          <w:color w:val="000000"/>
        </w:rPr>
        <w:t>References</w:t>
      </w:r>
    </w:p>
    <w:p w14:paraId="574CFD88" w14:textId="77777777" w:rsidR="000F42BC" w:rsidRPr="000F42BC" w:rsidRDefault="000F42BC" w:rsidP="004765BC">
      <w:pPr>
        <w:ind w:left="720" w:hanging="720"/>
        <w:rPr>
          <w:color w:val="000000"/>
          <w:highlight w:val="white"/>
        </w:rPr>
      </w:pPr>
      <w:r w:rsidRPr="000F42BC">
        <w:rPr>
          <w:color w:val="000000"/>
        </w:rPr>
        <w:t xml:space="preserve">Allsopp, D. H., </w:t>
      </w:r>
      <w:proofErr w:type="spellStart"/>
      <w:r w:rsidRPr="000F42BC">
        <w:rPr>
          <w:color w:val="000000"/>
        </w:rPr>
        <w:t>DeMarie</w:t>
      </w:r>
      <w:proofErr w:type="spellEnd"/>
      <w:r w:rsidRPr="000F42BC">
        <w:rPr>
          <w:color w:val="000000"/>
        </w:rPr>
        <w:t>, D., Alvarez-</w:t>
      </w:r>
      <w:proofErr w:type="spellStart"/>
      <w:r w:rsidRPr="000F42BC">
        <w:rPr>
          <w:color w:val="000000"/>
        </w:rPr>
        <w:t>Mchatton</w:t>
      </w:r>
      <w:proofErr w:type="spellEnd"/>
      <w:r w:rsidRPr="000F42BC">
        <w:rPr>
          <w:color w:val="000000"/>
        </w:rPr>
        <w:t xml:space="preserve">, P., </w:t>
      </w:r>
      <w:proofErr w:type="spellStart"/>
      <w:r w:rsidRPr="000F42BC">
        <w:rPr>
          <w:color w:val="000000"/>
        </w:rPr>
        <w:t>Doone</w:t>
      </w:r>
      <w:proofErr w:type="spellEnd"/>
      <w:r w:rsidRPr="000F42BC">
        <w:rPr>
          <w:color w:val="000000"/>
        </w:rPr>
        <w:t xml:space="preserve">, E. (2006). Bridging the gap between theory and practice: Connecting courses with field experiences. </w:t>
      </w:r>
      <w:r w:rsidRPr="000F42BC">
        <w:rPr>
          <w:i/>
          <w:color w:val="000000"/>
        </w:rPr>
        <w:t>Teacher Education Quarterly, 33</w:t>
      </w:r>
      <w:r w:rsidRPr="000F42BC">
        <w:rPr>
          <w:color w:val="000000"/>
        </w:rPr>
        <w:t xml:space="preserve">(1), 19-35. Retrieved from </w:t>
      </w:r>
      <w:hyperlink r:id="rId18" w:history="1">
        <w:r w:rsidRPr="000F42BC">
          <w:rPr>
            <w:color w:val="0000FF"/>
            <w:highlight w:val="white"/>
            <w:u w:val="single"/>
          </w:rPr>
          <w:t>https://www.jstor.org/stable/23478732</w:t>
        </w:r>
      </w:hyperlink>
    </w:p>
    <w:p w14:paraId="3FA71FAD" w14:textId="77777777" w:rsidR="000F42BC" w:rsidRPr="000F42BC" w:rsidRDefault="000F42BC" w:rsidP="004765BC">
      <w:pPr>
        <w:ind w:left="720" w:hanging="720"/>
      </w:pPr>
    </w:p>
    <w:p w14:paraId="0976FE73" w14:textId="77777777" w:rsidR="000F42BC" w:rsidRPr="000F42BC" w:rsidRDefault="000F42BC" w:rsidP="004765BC">
      <w:pPr>
        <w:ind w:left="720" w:hanging="720"/>
        <w:rPr>
          <w:color w:val="000000"/>
        </w:rPr>
      </w:pPr>
      <w:r w:rsidRPr="000F42BC">
        <w:rPr>
          <w:color w:val="000000"/>
        </w:rPr>
        <w:t xml:space="preserve">Bier, M. L., Horn, I., Campbell, S. S., </w:t>
      </w:r>
      <w:proofErr w:type="spellStart"/>
      <w:r w:rsidRPr="000F42BC">
        <w:rPr>
          <w:color w:val="000000"/>
        </w:rPr>
        <w:t>Kazemi</w:t>
      </w:r>
      <w:proofErr w:type="spellEnd"/>
      <w:r w:rsidRPr="000F42BC">
        <w:rPr>
          <w:color w:val="000000"/>
        </w:rPr>
        <w:t xml:space="preserve">, E., Hintz, A., Kelley-Peterson, M., … Peck, C. (2012). Designs for simultaneous renewal in university-public school partnerships: Hitting the “sweet spot”. </w:t>
      </w:r>
      <w:r w:rsidRPr="000F42BC">
        <w:rPr>
          <w:i/>
          <w:color w:val="000000"/>
        </w:rPr>
        <w:t>Teacher Education Quarterly, 39</w:t>
      </w:r>
      <w:r w:rsidRPr="000F42BC">
        <w:rPr>
          <w:color w:val="000000"/>
        </w:rPr>
        <w:t xml:space="preserve">(3), 127-141. Retrieved from </w:t>
      </w:r>
      <w:hyperlink r:id="rId19" w:history="1">
        <w:r w:rsidRPr="000F42BC">
          <w:rPr>
            <w:color w:val="0000FF"/>
            <w:u w:val="single"/>
          </w:rPr>
          <w:t>https://eric.ed.gov/?id=EJ1001441</w:t>
        </w:r>
      </w:hyperlink>
    </w:p>
    <w:p w14:paraId="350C4A02" w14:textId="77777777" w:rsidR="000F42BC" w:rsidRPr="000F42BC" w:rsidRDefault="000F42BC" w:rsidP="004765BC">
      <w:pPr>
        <w:ind w:left="720" w:hanging="720"/>
      </w:pPr>
    </w:p>
    <w:p w14:paraId="33800C77" w14:textId="77777777" w:rsidR="000F42BC" w:rsidRPr="000F42BC" w:rsidRDefault="000F42BC" w:rsidP="004765BC">
      <w:pPr>
        <w:ind w:left="720" w:hanging="720"/>
        <w:rPr>
          <w:color w:val="000000"/>
          <w:highlight w:val="white"/>
        </w:rPr>
      </w:pPr>
      <w:r w:rsidRPr="000F42BC">
        <w:rPr>
          <w:color w:val="000000"/>
        </w:rPr>
        <w:t xml:space="preserve">Bullough, R. V., Hobbs, S. F., Kauchak, D. P., Crow, N.A., Stokes, D. (1997). Long-term PDS development in research universities and the </w:t>
      </w:r>
      <w:proofErr w:type="spellStart"/>
      <w:r w:rsidRPr="000F42BC">
        <w:rPr>
          <w:color w:val="000000"/>
        </w:rPr>
        <w:t>clinicalization</w:t>
      </w:r>
      <w:proofErr w:type="spellEnd"/>
      <w:r w:rsidRPr="000F42BC">
        <w:rPr>
          <w:color w:val="000000"/>
        </w:rPr>
        <w:t xml:space="preserve"> of teacher education. </w:t>
      </w:r>
      <w:r w:rsidRPr="000F42BC">
        <w:rPr>
          <w:i/>
          <w:color w:val="000000"/>
        </w:rPr>
        <w:t>Journal of Teacher Education, (48)</w:t>
      </w:r>
      <w:r w:rsidRPr="000F42BC">
        <w:rPr>
          <w:color w:val="000000"/>
        </w:rPr>
        <w:t xml:space="preserve">2, 85-95. </w:t>
      </w:r>
      <w:hyperlink r:id="rId20" w:history="1">
        <w:r w:rsidRPr="000F42BC">
          <w:rPr>
            <w:color w:val="0000FF"/>
            <w:highlight w:val="white"/>
            <w:u w:val="single"/>
          </w:rPr>
          <w:t>https://doi.org/10.1177/0022487197048002002</w:t>
        </w:r>
      </w:hyperlink>
    </w:p>
    <w:p w14:paraId="526AED9F" w14:textId="77777777" w:rsidR="000F42BC" w:rsidRPr="000F42BC" w:rsidRDefault="000F42BC" w:rsidP="004765BC">
      <w:pPr>
        <w:ind w:left="720" w:hanging="720"/>
      </w:pPr>
    </w:p>
    <w:p w14:paraId="6B2AD609" w14:textId="77777777" w:rsidR="000F42BC" w:rsidRPr="000F42BC" w:rsidRDefault="000F42BC" w:rsidP="004765BC">
      <w:pPr>
        <w:ind w:left="720" w:hanging="720"/>
        <w:rPr>
          <w:color w:val="000000"/>
        </w:rPr>
      </w:pPr>
      <w:r w:rsidRPr="000F42BC">
        <w:rPr>
          <w:color w:val="000000"/>
        </w:rPr>
        <w:t xml:space="preserve">Bullough, R. V., </w:t>
      </w:r>
      <w:proofErr w:type="spellStart"/>
      <w:r w:rsidRPr="000F42BC">
        <w:rPr>
          <w:color w:val="000000"/>
        </w:rPr>
        <w:t>Birrell</w:t>
      </w:r>
      <w:proofErr w:type="spellEnd"/>
      <w:r w:rsidRPr="000F42BC">
        <w:rPr>
          <w:color w:val="000000"/>
        </w:rPr>
        <w:t xml:space="preserve">, J. R., Young, J., Clark, C., Erikson, L., … Egan., M.W. (1999). Paradise unrealized: Teacher educators and the costs and benefits of school/university partnerships. </w:t>
      </w:r>
      <w:r w:rsidRPr="000F42BC">
        <w:rPr>
          <w:i/>
          <w:color w:val="000000"/>
        </w:rPr>
        <w:t>Journal of Teacher Education, (50)</w:t>
      </w:r>
      <w:r w:rsidRPr="000F42BC">
        <w:rPr>
          <w:color w:val="000000"/>
        </w:rPr>
        <w:t xml:space="preserve">5, 381-390. </w:t>
      </w:r>
      <w:hyperlink r:id="rId21" w:history="1">
        <w:r w:rsidRPr="000F42BC">
          <w:rPr>
            <w:color w:val="0000FF"/>
            <w:u w:val="single"/>
          </w:rPr>
          <w:t>https://doi.org/10.1177/002248719905000511</w:t>
        </w:r>
      </w:hyperlink>
    </w:p>
    <w:p w14:paraId="6561F8F9" w14:textId="77777777" w:rsidR="000F42BC" w:rsidRPr="000F42BC" w:rsidRDefault="000F42BC" w:rsidP="004765BC">
      <w:pPr>
        <w:ind w:left="720" w:hanging="720"/>
      </w:pPr>
    </w:p>
    <w:p w14:paraId="7A996343" w14:textId="77777777" w:rsidR="000F42BC" w:rsidRPr="000F42BC" w:rsidRDefault="000F42BC" w:rsidP="004765BC">
      <w:pPr>
        <w:ind w:left="720" w:hanging="720"/>
        <w:rPr>
          <w:color w:val="000000"/>
          <w:highlight w:val="white"/>
        </w:rPr>
      </w:pPr>
      <w:r w:rsidRPr="000F42BC">
        <w:rPr>
          <w:color w:val="000000"/>
        </w:rPr>
        <w:t xml:space="preserve">Darling-Hammond, L. (2010a). Teacher education and the American future. </w:t>
      </w:r>
      <w:r w:rsidRPr="000F42BC">
        <w:rPr>
          <w:i/>
          <w:color w:val="000000"/>
        </w:rPr>
        <w:t>Journal of Teacher Education, 61</w:t>
      </w:r>
      <w:r w:rsidRPr="000F42BC">
        <w:rPr>
          <w:color w:val="000000"/>
        </w:rPr>
        <w:t xml:space="preserve">(1-2), 35-47. </w:t>
      </w:r>
      <w:proofErr w:type="spellStart"/>
      <w:r w:rsidRPr="000F42BC">
        <w:rPr>
          <w:color w:val="000000"/>
          <w:highlight w:val="white"/>
        </w:rPr>
        <w:t>doi</w:t>
      </w:r>
      <w:proofErr w:type="spellEnd"/>
      <w:r w:rsidRPr="000F42BC">
        <w:rPr>
          <w:color w:val="000000"/>
          <w:highlight w:val="white"/>
        </w:rPr>
        <w:t>: 10.1177/0022487109348024</w:t>
      </w:r>
    </w:p>
    <w:p w14:paraId="6981F660" w14:textId="77777777" w:rsidR="000F42BC" w:rsidRPr="000F42BC" w:rsidRDefault="000F42BC" w:rsidP="004765BC">
      <w:pPr>
        <w:ind w:left="720" w:hanging="720"/>
      </w:pPr>
    </w:p>
    <w:p w14:paraId="39D5B697" w14:textId="77777777" w:rsidR="000F42BC" w:rsidRPr="000F42BC" w:rsidRDefault="000F42BC" w:rsidP="004765BC">
      <w:pPr>
        <w:ind w:left="720" w:hanging="720"/>
        <w:rPr>
          <w:color w:val="000000"/>
        </w:rPr>
      </w:pPr>
      <w:r w:rsidRPr="000F42BC">
        <w:rPr>
          <w:color w:val="000000"/>
        </w:rPr>
        <w:t xml:space="preserve">Darling-Hammond, L. (2010b). </w:t>
      </w:r>
      <w:r w:rsidRPr="000F42BC">
        <w:rPr>
          <w:i/>
          <w:color w:val="000000"/>
        </w:rPr>
        <w:t>The flat world and education: How America’s commitment to equity will determine its future.</w:t>
      </w:r>
      <w:r w:rsidRPr="000F42BC">
        <w:rPr>
          <w:color w:val="000000"/>
        </w:rPr>
        <w:t xml:space="preserve"> New York: Teachers College Press.</w:t>
      </w:r>
    </w:p>
    <w:p w14:paraId="56CA800B" w14:textId="77777777" w:rsidR="000F42BC" w:rsidRPr="000F42BC" w:rsidRDefault="000F42BC" w:rsidP="004765BC">
      <w:pPr>
        <w:ind w:left="720" w:hanging="720"/>
      </w:pPr>
    </w:p>
    <w:p w14:paraId="319F00E3" w14:textId="77777777" w:rsidR="000F42BC" w:rsidRPr="000F42BC" w:rsidRDefault="000F42BC" w:rsidP="004765BC">
      <w:pPr>
        <w:ind w:left="720" w:hanging="720"/>
        <w:rPr>
          <w:color w:val="000000"/>
          <w:highlight w:val="white"/>
        </w:rPr>
      </w:pPr>
      <w:r w:rsidRPr="000F42BC">
        <w:rPr>
          <w:color w:val="000000"/>
        </w:rPr>
        <w:t xml:space="preserve">Erdman, J. I. (1983). Assessing the purposes of early field experience programs. </w:t>
      </w:r>
      <w:r w:rsidRPr="000F42BC">
        <w:rPr>
          <w:i/>
          <w:color w:val="000000"/>
        </w:rPr>
        <w:t>Journal of Teacher Education, 34</w:t>
      </w:r>
      <w:r w:rsidRPr="000F42BC">
        <w:rPr>
          <w:color w:val="000000"/>
        </w:rPr>
        <w:t xml:space="preserve">(4), 27-31). Retrieved from </w:t>
      </w:r>
      <w:proofErr w:type="spellStart"/>
      <w:r w:rsidRPr="000F42BC">
        <w:rPr>
          <w:color w:val="000000"/>
          <w:highlight w:val="white"/>
        </w:rPr>
        <w:t>doi</w:t>
      </w:r>
      <w:proofErr w:type="spellEnd"/>
      <w:r w:rsidRPr="000F42BC">
        <w:rPr>
          <w:color w:val="000000"/>
          <w:highlight w:val="white"/>
        </w:rPr>
        <w:t>: 10.1177/002248718303400408</w:t>
      </w:r>
    </w:p>
    <w:p w14:paraId="3BF1C49B" w14:textId="77777777" w:rsidR="000F42BC" w:rsidRPr="000F42BC" w:rsidRDefault="000F42BC" w:rsidP="004765BC">
      <w:pPr>
        <w:ind w:left="720" w:hanging="720"/>
      </w:pPr>
    </w:p>
    <w:p w14:paraId="4510345E" w14:textId="77777777" w:rsidR="000F42BC" w:rsidRPr="000F42BC" w:rsidRDefault="000F42BC" w:rsidP="004765BC">
      <w:pPr>
        <w:ind w:left="720" w:hanging="720"/>
      </w:pPr>
      <w:r w:rsidRPr="000F42BC">
        <w:rPr>
          <w:color w:val="000000"/>
          <w:highlight w:val="white"/>
        </w:rPr>
        <w:t xml:space="preserve">Lincoln, Y. S., &amp; Guba, E. (1985). </w:t>
      </w:r>
      <w:r w:rsidRPr="000F42BC">
        <w:rPr>
          <w:i/>
          <w:color w:val="000000"/>
          <w:highlight w:val="white"/>
        </w:rPr>
        <w:t>Naturalistic inquiry.</w:t>
      </w:r>
      <w:r w:rsidRPr="000F42BC">
        <w:rPr>
          <w:color w:val="000000"/>
          <w:highlight w:val="white"/>
        </w:rPr>
        <w:t xml:space="preserve"> Newbury Park, CA: Sage.</w:t>
      </w:r>
    </w:p>
    <w:p w14:paraId="19B5CD9F" w14:textId="77777777" w:rsidR="000F42BC" w:rsidRPr="000F42BC" w:rsidRDefault="000F42BC" w:rsidP="004765BC">
      <w:pPr>
        <w:ind w:left="720" w:hanging="720"/>
      </w:pPr>
    </w:p>
    <w:p w14:paraId="6E9E0D92" w14:textId="77777777" w:rsidR="000F42BC" w:rsidRPr="000F42BC" w:rsidRDefault="000F42BC" w:rsidP="004765BC">
      <w:pPr>
        <w:ind w:left="720" w:hanging="720"/>
        <w:rPr>
          <w:color w:val="000000"/>
        </w:rPr>
      </w:pPr>
      <w:r w:rsidRPr="000F42BC">
        <w:rPr>
          <w:color w:val="000000"/>
        </w:rPr>
        <w:t xml:space="preserve">Maxwell, J. A. (2005). </w:t>
      </w:r>
      <w:r w:rsidRPr="000F42BC">
        <w:rPr>
          <w:i/>
          <w:color w:val="000000"/>
        </w:rPr>
        <w:t xml:space="preserve">Qualitative research design: An interactive approach </w:t>
      </w:r>
      <w:r w:rsidRPr="000F42BC">
        <w:rPr>
          <w:color w:val="000000"/>
        </w:rPr>
        <w:t>(2nd ed</w:t>
      </w:r>
      <w:r w:rsidRPr="000F42BC">
        <w:rPr>
          <w:i/>
          <w:color w:val="000000"/>
        </w:rPr>
        <w:t xml:space="preserve">.) </w:t>
      </w:r>
      <w:proofErr w:type="spellStart"/>
      <w:r w:rsidRPr="000F42BC">
        <w:rPr>
          <w:color w:val="000000"/>
        </w:rPr>
        <w:t>Sage:Thousand</w:t>
      </w:r>
      <w:proofErr w:type="spellEnd"/>
      <w:r w:rsidRPr="000F42BC">
        <w:rPr>
          <w:color w:val="000000"/>
        </w:rPr>
        <w:t xml:space="preserve"> Oaks.</w:t>
      </w:r>
    </w:p>
    <w:p w14:paraId="407B9ED0" w14:textId="77777777" w:rsidR="000F42BC" w:rsidRPr="000F42BC" w:rsidRDefault="000F42BC" w:rsidP="004765BC">
      <w:pPr>
        <w:ind w:left="720" w:hanging="720"/>
      </w:pPr>
    </w:p>
    <w:p w14:paraId="6188664E" w14:textId="77777777" w:rsidR="000F42BC" w:rsidRPr="000F42BC" w:rsidRDefault="000F42BC" w:rsidP="004765BC">
      <w:pPr>
        <w:ind w:left="720" w:hanging="720"/>
        <w:rPr>
          <w:color w:val="000000"/>
        </w:rPr>
      </w:pPr>
      <w:r w:rsidRPr="000F42BC">
        <w:rPr>
          <w:color w:val="000000"/>
        </w:rPr>
        <w:t xml:space="preserve">National Council for Accreditation of Teacher Education (NCATE). (2010). </w:t>
      </w:r>
      <w:r w:rsidRPr="000F42BC">
        <w:rPr>
          <w:i/>
          <w:color w:val="000000"/>
        </w:rPr>
        <w:t>Transforming teacher education through clinical practice: A national strategy to prepare effective teachers.</w:t>
      </w:r>
      <w:r w:rsidRPr="000F42BC">
        <w:rPr>
          <w:color w:val="000000"/>
        </w:rPr>
        <w:t xml:space="preserve"> Retrieved from </w:t>
      </w:r>
      <w:hyperlink r:id="rId22" w:history="1">
        <w:r w:rsidRPr="000F42BC">
          <w:rPr>
            <w:color w:val="0000FF"/>
            <w:u w:val="single"/>
          </w:rPr>
          <w:t>http://www.highered.nysed.gov/pdf/NCATECR.pdf</w:t>
        </w:r>
      </w:hyperlink>
    </w:p>
    <w:p w14:paraId="48C9A8E2" w14:textId="77777777" w:rsidR="000F42BC" w:rsidRPr="000F42BC" w:rsidRDefault="000F42BC" w:rsidP="004765BC">
      <w:pPr>
        <w:ind w:left="720" w:hanging="720"/>
      </w:pPr>
    </w:p>
    <w:p w14:paraId="7B60CB2D" w14:textId="77777777" w:rsidR="000F42BC" w:rsidRDefault="000F42BC" w:rsidP="004765BC">
      <w:pPr>
        <w:ind w:left="720" w:hanging="720"/>
        <w:rPr>
          <w:color w:val="000000"/>
        </w:rPr>
      </w:pPr>
      <w:proofErr w:type="spellStart"/>
      <w:r w:rsidRPr="000F42BC">
        <w:rPr>
          <w:color w:val="000000"/>
        </w:rPr>
        <w:t>Ohana</w:t>
      </w:r>
      <w:proofErr w:type="spellEnd"/>
      <w:r w:rsidRPr="000F42BC">
        <w:rPr>
          <w:color w:val="000000"/>
        </w:rPr>
        <w:t xml:space="preserve">, C. (2004). Extended field experiences and cohorts with elementary science methods: Some unintended consequences. </w:t>
      </w:r>
      <w:r w:rsidRPr="000F42BC">
        <w:rPr>
          <w:i/>
          <w:color w:val="000000"/>
        </w:rPr>
        <w:t>Journal of Science Teacher Education, 15</w:t>
      </w:r>
      <w:r w:rsidRPr="000F42BC">
        <w:rPr>
          <w:color w:val="000000"/>
        </w:rPr>
        <w:t xml:space="preserve">(3), 233-254. Retrieved from </w:t>
      </w:r>
      <w:hyperlink r:id="rId23" w:history="1">
        <w:r w:rsidR="00EC34B1" w:rsidRPr="009359DE">
          <w:rPr>
            <w:rStyle w:val="Hyperlink"/>
          </w:rPr>
          <w:t>http://www.jstor.org/stable/4315634</w:t>
        </w:r>
      </w:hyperlink>
    </w:p>
    <w:p w14:paraId="4B5F7ED3" w14:textId="77777777" w:rsidR="00EC34B1" w:rsidRPr="000F42BC" w:rsidRDefault="00EC34B1" w:rsidP="004765BC">
      <w:pPr>
        <w:ind w:left="720" w:hanging="720"/>
      </w:pPr>
    </w:p>
    <w:p w14:paraId="299139B3" w14:textId="77777777" w:rsidR="000F42BC" w:rsidRPr="000F42BC" w:rsidRDefault="000F42BC" w:rsidP="004765BC">
      <w:pPr>
        <w:ind w:left="720" w:hanging="720"/>
        <w:rPr>
          <w:color w:val="000000"/>
        </w:rPr>
      </w:pPr>
      <w:r w:rsidRPr="000F42BC">
        <w:rPr>
          <w:color w:val="000000"/>
        </w:rPr>
        <w:t xml:space="preserve">Patton, M. Q. (1987). </w:t>
      </w:r>
      <w:r w:rsidRPr="000F42BC">
        <w:rPr>
          <w:i/>
          <w:color w:val="000000"/>
        </w:rPr>
        <w:t xml:space="preserve">How to use qualitative methods in education. </w:t>
      </w:r>
      <w:r w:rsidRPr="000F42BC">
        <w:rPr>
          <w:color w:val="000000"/>
        </w:rPr>
        <w:t>Sage: Thousand Oaks.</w:t>
      </w:r>
    </w:p>
    <w:p w14:paraId="435F41B9" w14:textId="77777777" w:rsidR="000F42BC" w:rsidRPr="000F42BC" w:rsidRDefault="000F42BC" w:rsidP="004765BC">
      <w:pPr>
        <w:ind w:left="720" w:hanging="720"/>
      </w:pPr>
    </w:p>
    <w:p w14:paraId="38692ACD" w14:textId="77777777" w:rsidR="000F42BC" w:rsidRPr="000F42BC" w:rsidRDefault="000F42BC" w:rsidP="004765BC">
      <w:pPr>
        <w:ind w:left="720" w:hanging="720"/>
        <w:rPr>
          <w:color w:val="000000"/>
          <w:highlight w:val="white"/>
        </w:rPr>
      </w:pPr>
      <w:r w:rsidRPr="000F42BC">
        <w:rPr>
          <w:color w:val="000000"/>
        </w:rPr>
        <w:t xml:space="preserve">Ryan, G., Toohey, S., &amp; Hughes, C. (1996). The purpose, value, and structure of the practicum in higher education: A literature review. </w:t>
      </w:r>
      <w:r w:rsidRPr="000F42BC">
        <w:rPr>
          <w:i/>
          <w:color w:val="000000"/>
        </w:rPr>
        <w:t>Higher Education, 31</w:t>
      </w:r>
      <w:r w:rsidRPr="000F42BC">
        <w:rPr>
          <w:color w:val="000000"/>
        </w:rPr>
        <w:t xml:space="preserve">(3), 355-377. Retrieved from </w:t>
      </w:r>
      <w:hyperlink r:id="rId24" w:history="1">
        <w:r w:rsidRPr="000F42BC">
          <w:rPr>
            <w:color w:val="0000FF"/>
            <w:highlight w:val="white"/>
            <w:u w:val="single"/>
          </w:rPr>
          <w:t>http://www.jstor.org/stable/3447652</w:t>
        </w:r>
      </w:hyperlink>
    </w:p>
    <w:p w14:paraId="359BD716" w14:textId="77777777" w:rsidR="000F42BC" w:rsidRPr="000F42BC" w:rsidRDefault="000F42BC" w:rsidP="004765BC">
      <w:pPr>
        <w:ind w:left="720" w:hanging="720"/>
      </w:pPr>
    </w:p>
    <w:p w14:paraId="36972DF3" w14:textId="77777777" w:rsidR="000F42BC" w:rsidRPr="000F42BC" w:rsidRDefault="000F42BC" w:rsidP="004765BC">
      <w:pPr>
        <w:ind w:left="720" w:hanging="720"/>
        <w:rPr>
          <w:color w:val="000000"/>
          <w:highlight w:val="white"/>
        </w:rPr>
      </w:pPr>
      <w:r w:rsidRPr="000F42BC">
        <w:rPr>
          <w:color w:val="000000"/>
          <w:highlight w:val="white"/>
        </w:rPr>
        <w:t xml:space="preserve">Strauss, A. &amp; Corbin, J. (1990). </w:t>
      </w:r>
      <w:r w:rsidRPr="000F42BC">
        <w:rPr>
          <w:i/>
          <w:color w:val="000000"/>
          <w:highlight w:val="white"/>
        </w:rPr>
        <w:t>Basics of qualitative research: Techniques and procedures for developing grounded theory</w:t>
      </w:r>
      <w:r w:rsidRPr="000F42BC">
        <w:rPr>
          <w:color w:val="000000"/>
          <w:highlight w:val="white"/>
        </w:rPr>
        <w:t>. Newbury Park, CA: Sage Publications.</w:t>
      </w:r>
    </w:p>
    <w:p w14:paraId="60CA9DA4" w14:textId="77777777" w:rsidR="000F42BC" w:rsidRPr="000F42BC" w:rsidRDefault="000F42BC" w:rsidP="004765BC">
      <w:pPr>
        <w:ind w:left="720" w:hanging="720"/>
      </w:pPr>
    </w:p>
    <w:p w14:paraId="580E78AA" w14:textId="77777777" w:rsidR="000F42BC" w:rsidRPr="000F42BC" w:rsidRDefault="000F42BC" w:rsidP="004765BC">
      <w:pPr>
        <w:ind w:left="720" w:hanging="720"/>
        <w:rPr>
          <w:color w:val="000000"/>
          <w:highlight w:val="white"/>
        </w:rPr>
      </w:pPr>
      <w:r w:rsidRPr="000F42BC">
        <w:rPr>
          <w:color w:val="000000"/>
          <w:highlight w:val="white"/>
        </w:rPr>
        <w:t xml:space="preserve">Sutherland, L., Howard, S., </w:t>
      </w:r>
      <w:proofErr w:type="spellStart"/>
      <w:r w:rsidRPr="000F42BC">
        <w:rPr>
          <w:color w:val="000000"/>
          <w:highlight w:val="white"/>
        </w:rPr>
        <w:t>Markauskaite</w:t>
      </w:r>
      <w:proofErr w:type="spellEnd"/>
      <w:r w:rsidRPr="000F42BC">
        <w:rPr>
          <w:color w:val="000000"/>
          <w:highlight w:val="white"/>
        </w:rPr>
        <w:t xml:space="preserve">, L. (2010). Professional identity creation: Examining the development of beginning preservice teachers’ understanding of their work as teachers. </w:t>
      </w:r>
      <w:r w:rsidRPr="000F42BC">
        <w:rPr>
          <w:i/>
          <w:color w:val="000000"/>
          <w:highlight w:val="white"/>
        </w:rPr>
        <w:t>Teaching and Teacher Education, 26</w:t>
      </w:r>
      <w:r w:rsidRPr="000F42BC">
        <w:rPr>
          <w:color w:val="000000"/>
          <w:highlight w:val="white"/>
        </w:rPr>
        <w:t xml:space="preserve">(3), 455-465. </w:t>
      </w:r>
      <w:proofErr w:type="spellStart"/>
      <w:r w:rsidRPr="000F42BC">
        <w:rPr>
          <w:color w:val="000000"/>
          <w:highlight w:val="white"/>
        </w:rPr>
        <w:t>doi</w:t>
      </w:r>
      <w:proofErr w:type="spellEnd"/>
      <w:r w:rsidRPr="000F42BC">
        <w:rPr>
          <w:color w:val="000000"/>
          <w:highlight w:val="white"/>
        </w:rPr>
        <w:t>: 10.1016/j.tate.2009.06.006</w:t>
      </w:r>
    </w:p>
    <w:p w14:paraId="3E37F4AA" w14:textId="77777777" w:rsidR="000F42BC" w:rsidRPr="000F42BC" w:rsidRDefault="000F42BC" w:rsidP="004765BC">
      <w:pPr>
        <w:ind w:left="720" w:hanging="720"/>
      </w:pPr>
    </w:p>
    <w:p w14:paraId="03B1EE9C" w14:textId="77777777" w:rsidR="000F42BC" w:rsidRPr="000F42BC" w:rsidRDefault="000F42BC" w:rsidP="004765BC">
      <w:pPr>
        <w:ind w:left="720" w:hanging="720"/>
        <w:rPr>
          <w:highlight w:val="white"/>
        </w:rPr>
      </w:pPr>
      <w:r w:rsidRPr="000F42BC">
        <w:rPr>
          <w:color w:val="000000"/>
          <w:highlight w:val="white"/>
        </w:rPr>
        <w:t xml:space="preserve">Wasburn-Moses, L., Kopp, T., </w:t>
      </w:r>
      <w:proofErr w:type="spellStart"/>
      <w:r w:rsidRPr="000F42BC">
        <w:rPr>
          <w:color w:val="000000"/>
          <w:highlight w:val="white"/>
        </w:rPr>
        <w:t>Hettersimer</w:t>
      </w:r>
      <w:proofErr w:type="spellEnd"/>
      <w:r w:rsidRPr="000F42BC">
        <w:rPr>
          <w:color w:val="000000"/>
          <w:highlight w:val="white"/>
        </w:rPr>
        <w:t xml:space="preserve">, J. E. (2012). Prospective teachers’ perceptions of the value of an early field experience in a laboratory setting. </w:t>
      </w:r>
      <w:r w:rsidRPr="000F42BC">
        <w:rPr>
          <w:i/>
          <w:color w:val="000000"/>
          <w:highlight w:val="white"/>
        </w:rPr>
        <w:t>Issues in Teacher Education</w:t>
      </w:r>
      <w:r w:rsidRPr="000F42BC">
        <w:rPr>
          <w:color w:val="000000"/>
          <w:highlight w:val="white"/>
        </w:rPr>
        <w:t xml:space="preserve">, </w:t>
      </w:r>
      <w:r w:rsidRPr="000F42BC">
        <w:rPr>
          <w:i/>
          <w:color w:val="000000"/>
          <w:highlight w:val="white"/>
        </w:rPr>
        <w:t>21</w:t>
      </w:r>
      <w:r w:rsidRPr="000F42BC">
        <w:rPr>
          <w:color w:val="000000"/>
          <w:highlight w:val="white"/>
        </w:rPr>
        <w:t xml:space="preserve">(2), 7-22. Retrieved from </w:t>
      </w:r>
      <w:hyperlink r:id="rId25" w:history="1">
        <w:r w:rsidRPr="000F42BC">
          <w:rPr>
            <w:color w:val="0000FF"/>
            <w:highlight w:val="white"/>
            <w:u w:val="single"/>
          </w:rPr>
          <w:t>https://files.eric.ed.gov/fulltext/EJ1001258.pdf</w:t>
        </w:r>
      </w:hyperlink>
    </w:p>
    <w:p w14:paraId="5C1B89C6" w14:textId="77777777" w:rsidR="000F42BC" w:rsidRPr="000F42BC" w:rsidRDefault="000F42BC" w:rsidP="004765BC">
      <w:pPr>
        <w:ind w:left="720" w:hanging="720"/>
        <w:rPr>
          <w:highlight w:val="white"/>
        </w:rPr>
      </w:pPr>
    </w:p>
    <w:p w14:paraId="27814620" w14:textId="77777777" w:rsidR="000F42BC" w:rsidRPr="000F42BC" w:rsidRDefault="000F42BC" w:rsidP="004765BC">
      <w:pPr>
        <w:ind w:left="720" w:hanging="720"/>
        <w:rPr>
          <w:highlight w:val="white"/>
        </w:rPr>
      </w:pPr>
      <w:r w:rsidRPr="000F42BC">
        <w:rPr>
          <w:highlight w:val="white"/>
        </w:rPr>
        <w:t xml:space="preserve">Welsh, K. A., Schaffer, C. (2017). Developing the effective teaching skills of teacher candidates during early field experiences. </w:t>
      </w:r>
      <w:r w:rsidRPr="000F42BC">
        <w:rPr>
          <w:i/>
          <w:highlight w:val="white"/>
        </w:rPr>
        <w:t>The Educational Forum, 81</w:t>
      </w:r>
      <w:r w:rsidRPr="000F42BC">
        <w:rPr>
          <w:highlight w:val="white"/>
        </w:rPr>
        <w:t xml:space="preserve">(3), 301-321. </w:t>
      </w:r>
      <w:proofErr w:type="spellStart"/>
      <w:r w:rsidRPr="000F42BC">
        <w:rPr>
          <w:highlight w:val="white"/>
        </w:rPr>
        <w:t>doi</w:t>
      </w:r>
      <w:proofErr w:type="spellEnd"/>
      <w:r w:rsidRPr="000F42BC">
        <w:rPr>
          <w:highlight w:val="white"/>
        </w:rPr>
        <w:t>: 10.1080/00131725.2017.1314574</w:t>
      </w:r>
    </w:p>
    <w:p w14:paraId="256C0142" w14:textId="77777777" w:rsidR="000F42BC" w:rsidRPr="000F42BC" w:rsidRDefault="000F42BC" w:rsidP="004765BC">
      <w:pPr>
        <w:ind w:left="720" w:hanging="720"/>
        <w:rPr>
          <w:highlight w:val="white"/>
        </w:rPr>
      </w:pPr>
    </w:p>
    <w:p w14:paraId="3B790D54" w14:textId="77777777" w:rsidR="000F42BC" w:rsidRPr="000F42BC" w:rsidRDefault="000F42BC" w:rsidP="004765BC">
      <w:pPr>
        <w:ind w:left="720" w:hanging="720"/>
      </w:pPr>
      <w:proofErr w:type="spellStart"/>
      <w:r w:rsidRPr="000F42BC">
        <w:rPr>
          <w:color w:val="000000"/>
          <w:highlight w:val="white"/>
        </w:rPr>
        <w:t>Zeichner</w:t>
      </w:r>
      <w:proofErr w:type="spellEnd"/>
      <w:r w:rsidRPr="000F42BC">
        <w:rPr>
          <w:color w:val="000000"/>
          <w:highlight w:val="white"/>
        </w:rPr>
        <w:t xml:space="preserve">, K. (2010). Rethinking the connections between campus courses and field experiences in college- and university-based teacher education. </w:t>
      </w:r>
      <w:r w:rsidRPr="000F42BC">
        <w:rPr>
          <w:i/>
          <w:color w:val="000000"/>
          <w:highlight w:val="white"/>
        </w:rPr>
        <w:t>Journal of Teacher Education, 61</w:t>
      </w:r>
      <w:r w:rsidRPr="000F42BC">
        <w:rPr>
          <w:color w:val="000000"/>
          <w:highlight w:val="white"/>
        </w:rPr>
        <w:t xml:space="preserve">(1-2), 89-99. </w:t>
      </w:r>
      <w:proofErr w:type="spellStart"/>
      <w:r w:rsidRPr="000F42BC">
        <w:rPr>
          <w:color w:val="000000"/>
          <w:highlight w:val="white"/>
        </w:rPr>
        <w:t>doi</w:t>
      </w:r>
      <w:proofErr w:type="spellEnd"/>
      <w:r w:rsidRPr="000F42BC">
        <w:rPr>
          <w:color w:val="000000"/>
          <w:highlight w:val="white"/>
        </w:rPr>
        <w:t>: 10.1177/0022487109347671</w:t>
      </w:r>
    </w:p>
    <w:p w14:paraId="2E012CE1" w14:textId="77777777" w:rsidR="000F42BC" w:rsidRPr="000F42BC" w:rsidRDefault="000F42BC" w:rsidP="004765BC">
      <w:pPr>
        <w:ind w:left="720"/>
      </w:pPr>
      <w:r w:rsidRPr="000F42BC">
        <w:rPr>
          <w:color w:val="000000"/>
          <w:highlight w:val="white"/>
        </w:rPr>
        <w:t xml:space="preserve"> </w:t>
      </w:r>
    </w:p>
    <w:p w14:paraId="7E2373A6" w14:textId="77777777" w:rsidR="000F42BC" w:rsidRPr="000F42BC" w:rsidRDefault="000F42BC" w:rsidP="005F1ACF">
      <w:pPr>
        <w:ind w:left="720"/>
      </w:pPr>
    </w:p>
    <w:p w14:paraId="3118A52F" w14:textId="77777777" w:rsidR="000F42BC" w:rsidRDefault="000F42BC" w:rsidP="000F42BC">
      <w:pPr>
        <w:tabs>
          <w:tab w:val="left" w:pos="5870"/>
        </w:tabs>
        <w:ind w:left="720"/>
      </w:pPr>
    </w:p>
    <w:p w14:paraId="1985DBE9" w14:textId="77777777" w:rsidR="00D1450F" w:rsidRDefault="00D1450F" w:rsidP="000F42BC">
      <w:pPr>
        <w:tabs>
          <w:tab w:val="left" w:pos="5870"/>
        </w:tabs>
        <w:ind w:left="720"/>
      </w:pPr>
    </w:p>
    <w:p w14:paraId="3F523955" w14:textId="77777777" w:rsidR="00765400" w:rsidRDefault="00765400" w:rsidP="000F42BC">
      <w:pPr>
        <w:tabs>
          <w:tab w:val="left" w:pos="5870"/>
        </w:tabs>
        <w:ind w:left="720"/>
      </w:pPr>
    </w:p>
    <w:p w14:paraId="506E5ADA" w14:textId="77777777" w:rsidR="00765400" w:rsidRDefault="00765400" w:rsidP="000F42BC">
      <w:pPr>
        <w:tabs>
          <w:tab w:val="left" w:pos="5870"/>
        </w:tabs>
        <w:ind w:left="720"/>
      </w:pPr>
    </w:p>
    <w:p w14:paraId="34A04965" w14:textId="77777777" w:rsidR="00765400" w:rsidRDefault="00765400" w:rsidP="000F42BC">
      <w:pPr>
        <w:tabs>
          <w:tab w:val="left" w:pos="5870"/>
        </w:tabs>
        <w:ind w:left="720"/>
      </w:pPr>
    </w:p>
    <w:p w14:paraId="042C6643" w14:textId="77777777" w:rsidR="00765400" w:rsidRDefault="00765400" w:rsidP="000F42BC">
      <w:pPr>
        <w:tabs>
          <w:tab w:val="left" w:pos="5870"/>
        </w:tabs>
        <w:ind w:left="720"/>
      </w:pPr>
    </w:p>
    <w:p w14:paraId="365BBF27" w14:textId="77777777" w:rsidR="00765400" w:rsidRDefault="00765400" w:rsidP="000F42BC">
      <w:pPr>
        <w:tabs>
          <w:tab w:val="left" w:pos="5870"/>
        </w:tabs>
        <w:ind w:left="720"/>
      </w:pPr>
    </w:p>
    <w:p w14:paraId="78C11873" w14:textId="77777777" w:rsidR="00765400" w:rsidRDefault="00765400" w:rsidP="000F42BC">
      <w:pPr>
        <w:tabs>
          <w:tab w:val="left" w:pos="5870"/>
        </w:tabs>
        <w:ind w:left="720"/>
      </w:pPr>
    </w:p>
    <w:p w14:paraId="22D3F974" w14:textId="77777777" w:rsidR="00765400" w:rsidRDefault="00765400" w:rsidP="000F42BC">
      <w:pPr>
        <w:tabs>
          <w:tab w:val="left" w:pos="5870"/>
        </w:tabs>
        <w:ind w:left="720"/>
      </w:pPr>
    </w:p>
    <w:p w14:paraId="39158C6A" w14:textId="77777777" w:rsidR="00765400" w:rsidRDefault="00765400" w:rsidP="000F42BC">
      <w:pPr>
        <w:tabs>
          <w:tab w:val="left" w:pos="5870"/>
        </w:tabs>
        <w:ind w:left="720"/>
      </w:pPr>
    </w:p>
    <w:p w14:paraId="0AB89DF8" w14:textId="77777777" w:rsidR="00765400" w:rsidRDefault="00765400" w:rsidP="000F42BC">
      <w:pPr>
        <w:tabs>
          <w:tab w:val="left" w:pos="5870"/>
        </w:tabs>
        <w:ind w:left="720"/>
      </w:pPr>
    </w:p>
    <w:p w14:paraId="6790F64D" w14:textId="77777777" w:rsidR="00765400" w:rsidRDefault="00765400" w:rsidP="000F42BC">
      <w:pPr>
        <w:tabs>
          <w:tab w:val="left" w:pos="5870"/>
        </w:tabs>
        <w:ind w:left="720"/>
      </w:pPr>
    </w:p>
    <w:p w14:paraId="3F45E58E" w14:textId="77777777" w:rsidR="00765400" w:rsidRDefault="00765400" w:rsidP="000F42BC">
      <w:pPr>
        <w:tabs>
          <w:tab w:val="left" w:pos="5870"/>
        </w:tabs>
        <w:ind w:left="720"/>
      </w:pPr>
    </w:p>
    <w:p w14:paraId="77843C8B" w14:textId="77777777" w:rsidR="00765400" w:rsidRDefault="00765400" w:rsidP="000F42BC">
      <w:pPr>
        <w:tabs>
          <w:tab w:val="left" w:pos="5870"/>
        </w:tabs>
        <w:ind w:left="720"/>
      </w:pPr>
    </w:p>
    <w:p w14:paraId="27139709" w14:textId="77777777" w:rsidR="00765400" w:rsidRDefault="00765400" w:rsidP="000F42BC">
      <w:pPr>
        <w:tabs>
          <w:tab w:val="left" w:pos="5870"/>
        </w:tabs>
        <w:ind w:left="720"/>
      </w:pPr>
    </w:p>
    <w:tbl>
      <w:tblPr>
        <w:tblStyle w:val="TableGrid"/>
        <w:tblW w:w="0" w:type="auto"/>
        <w:tblInd w:w="720" w:type="dxa"/>
        <w:tblLook w:val="04A0" w:firstRow="1" w:lastRow="0" w:firstColumn="1" w:lastColumn="0" w:noHBand="0" w:noVBand="1"/>
      </w:tblPr>
      <w:tblGrid>
        <w:gridCol w:w="8630"/>
      </w:tblGrid>
      <w:tr w:rsidR="001E7996" w14:paraId="79BCA0B8" w14:textId="77777777" w:rsidTr="001E7996">
        <w:tc>
          <w:tcPr>
            <w:tcW w:w="9350" w:type="dxa"/>
          </w:tcPr>
          <w:p w14:paraId="3595F588" w14:textId="77777777" w:rsidR="001E7996" w:rsidRDefault="001E7996" w:rsidP="001E7996">
            <w:r w:rsidRPr="00765400">
              <w:rPr>
                <w:b/>
              </w:rPr>
              <w:t>Terri Jongekrijg</w:t>
            </w:r>
            <w:r>
              <w:t xml:space="preserve"> is a Visiting Assistant Professor in Teacher Development and Educational Studies.  She was formerly an elementary school teacher and is committed to impacting and improving teacher education.</w:t>
            </w:r>
          </w:p>
          <w:p w14:paraId="54F94443" w14:textId="77777777" w:rsidR="001E7996" w:rsidRDefault="001E7996" w:rsidP="00765400">
            <w:r w:rsidRPr="00765400">
              <w:rPr>
                <w:b/>
              </w:rPr>
              <w:t>Bob Wiggins</w:t>
            </w:r>
            <w:r>
              <w:t xml:space="preserve"> is Professor Emeritus and a former elementary school principal with a particular interest in pre-service teachers' understanding of school culture and is impact on quality practice.</w:t>
            </w:r>
          </w:p>
        </w:tc>
      </w:tr>
    </w:tbl>
    <w:p w14:paraId="546E9FA4" w14:textId="77777777" w:rsidR="00EC34B1" w:rsidRPr="00EC34B1" w:rsidRDefault="00EC34B1" w:rsidP="00EC34B1">
      <w:pPr>
        <w:spacing w:line="480" w:lineRule="auto"/>
        <w:jc w:val="center"/>
        <w:rPr>
          <w:rFonts w:eastAsia="Calibri"/>
          <w:b/>
        </w:rPr>
      </w:pPr>
      <w:bookmarkStart w:id="10" w:name="_Hlk6425856"/>
      <w:r w:rsidRPr="00EC34B1">
        <w:rPr>
          <w:rFonts w:eastAsia="Calibri"/>
          <w:b/>
        </w:rPr>
        <w:t>Reflection vs. Critical Self-Reflection</w:t>
      </w:r>
    </w:p>
    <w:p w14:paraId="32EF2687" w14:textId="77777777" w:rsidR="00EC34B1" w:rsidRPr="00EC34B1" w:rsidRDefault="00EC34B1" w:rsidP="00EC34B1">
      <w:pPr>
        <w:spacing w:line="480" w:lineRule="auto"/>
        <w:jc w:val="center"/>
        <w:rPr>
          <w:i/>
        </w:rPr>
      </w:pPr>
      <w:r w:rsidRPr="00EC34B1">
        <w:rPr>
          <w:rFonts w:eastAsia="Calibri"/>
          <w:i/>
        </w:rPr>
        <w:t xml:space="preserve">Pamela Vaughn and </w:t>
      </w:r>
      <w:r w:rsidRPr="00EC34B1">
        <w:rPr>
          <w:i/>
        </w:rPr>
        <w:t>Susan L. Reily</w:t>
      </w:r>
    </w:p>
    <w:bookmarkEnd w:id="10"/>
    <w:p w14:paraId="1BA5DB9E" w14:textId="77777777" w:rsidR="00EC34B1" w:rsidRPr="00EC34B1" w:rsidRDefault="00EC34B1" w:rsidP="00EC34B1">
      <w:pPr>
        <w:spacing w:line="480" w:lineRule="auto"/>
        <w:jc w:val="center"/>
        <w:rPr>
          <w:rFonts w:eastAsia="Calibri"/>
          <w:i/>
        </w:rPr>
      </w:pPr>
      <w:r w:rsidRPr="00EC34B1">
        <w:rPr>
          <w:rFonts w:eastAsia="Calibri"/>
          <w:i/>
        </w:rPr>
        <w:t>Stephen F. Austin State University</w:t>
      </w:r>
    </w:p>
    <w:p w14:paraId="44E6F651" w14:textId="77777777" w:rsidR="00EC34B1" w:rsidRPr="00EC34B1" w:rsidRDefault="00EC34B1" w:rsidP="00EC34B1">
      <w:pPr>
        <w:spacing w:line="480" w:lineRule="auto"/>
        <w:jc w:val="center"/>
        <w:rPr>
          <w:rFonts w:eastAsia="Calibri"/>
          <w:i/>
        </w:rPr>
      </w:pPr>
    </w:p>
    <w:p w14:paraId="6B846AEC" w14:textId="77777777" w:rsidR="00EC34B1" w:rsidRDefault="00EC34B1" w:rsidP="00EC34B1">
      <w:pPr>
        <w:spacing w:line="480" w:lineRule="auto"/>
        <w:jc w:val="center"/>
        <w:rPr>
          <w:rFonts w:eastAsia="Calibri"/>
          <w:b/>
        </w:rPr>
      </w:pPr>
      <w:r w:rsidRPr="00EC34B1">
        <w:rPr>
          <w:rFonts w:eastAsia="Calibri"/>
          <w:b/>
        </w:rPr>
        <w:t>Abstract</w:t>
      </w:r>
    </w:p>
    <w:p w14:paraId="5206D658" w14:textId="77777777" w:rsidR="00EC34B1" w:rsidRDefault="00EC34B1" w:rsidP="00EC34B1">
      <w:pPr>
        <w:spacing w:line="480" w:lineRule="auto"/>
        <w:rPr>
          <w:rFonts w:eastAsia="Calibri"/>
        </w:rPr>
      </w:pPr>
      <w:r w:rsidRPr="00EC34B1">
        <w:rPr>
          <w:rFonts w:eastAsia="Calibri"/>
        </w:rPr>
        <w:t xml:space="preserve">It is not the intent of this article to provide an implementation model for incorporating critical reflection in a field-based practicum. This article serves as a form of critical reflection for two professors working with teacher candidates (TCs) during their initial practicum. </w:t>
      </w:r>
      <w:r w:rsidR="002A2E1F">
        <w:rPr>
          <w:rFonts w:eastAsia="Calibri"/>
        </w:rPr>
        <w:t xml:space="preserve"> </w:t>
      </w:r>
      <w:r w:rsidRPr="00EC34B1">
        <w:rPr>
          <w:rFonts w:eastAsia="Calibri"/>
        </w:rPr>
        <w:t>Just as reflection is personal to the individual, so are the reflective practices professors choose to implement in their programs and with different groups of TCs.</w:t>
      </w:r>
      <w:r w:rsidR="002A2E1F">
        <w:rPr>
          <w:rFonts w:eastAsia="Calibri"/>
        </w:rPr>
        <w:t xml:space="preserve"> </w:t>
      </w:r>
      <w:r w:rsidRPr="00EC34B1">
        <w:rPr>
          <w:rFonts w:eastAsia="Calibri"/>
        </w:rPr>
        <w:t xml:space="preserve"> Due to the limited research of how critical reflection for TCs in practicums is fostered by supervising professors, the purpose of this article is to </w:t>
      </w:r>
      <w:bookmarkStart w:id="11" w:name="_Hlk8027844"/>
      <w:r w:rsidRPr="00EC34B1">
        <w:rPr>
          <w:rFonts w:eastAsia="Calibri"/>
        </w:rPr>
        <w:t>provide two professors’ stance and beliefs about critical reflection during a practicum and how it impacted the learning opportunities for TCs</w:t>
      </w:r>
      <w:bookmarkEnd w:id="11"/>
      <w:r w:rsidRPr="00EC34B1">
        <w:rPr>
          <w:rFonts w:eastAsia="Calibri"/>
        </w:rPr>
        <w:t>.</w:t>
      </w:r>
    </w:p>
    <w:p w14:paraId="6B59DC7C" w14:textId="77777777" w:rsidR="00EC34B1" w:rsidRDefault="00EC34B1" w:rsidP="00EC34B1">
      <w:pPr>
        <w:spacing w:line="480" w:lineRule="auto"/>
        <w:rPr>
          <w:rFonts w:eastAsia="Calibri"/>
          <w:b/>
        </w:rPr>
      </w:pPr>
    </w:p>
    <w:p w14:paraId="716C7E2D" w14:textId="77777777" w:rsidR="00EC34B1" w:rsidRDefault="00EC34B1" w:rsidP="00EC34B1">
      <w:pPr>
        <w:spacing w:line="480" w:lineRule="auto"/>
        <w:rPr>
          <w:rFonts w:eastAsia="Calibri"/>
          <w:b/>
        </w:rPr>
      </w:pPr>
    </w:p>
    <w:p w14:paraId="6A316B5F" w14:textId="77777777" w:rsidR="00EC34B1" w:rsidRDefault="00EC34B1" w:rsidP="00EC34B1">
      <w:pPr>
        <w:spacing w:line="480" w:lineRule="auto"/>
        <w:rPr>
          <w:rFonts w:eastAsia="Calibri"/>
          <w:b/>
        </w:rPr>
      </w:pPr>
    </w:p>
    <w:p w14:paraId="04F1126D" w14:textId="77777777" w:rsidR="00EC34B1" w:rsidRDefault="00EC34B1" w:rsidP="00EC34B1">
      <w:pPr>
        <w:spacing w:line="480" w:lineRule="auto"/>
        <w:rPr>
          <w:rFonts w:eastAsia="Calibri"/>
          <w:b/>
        </w:rPr>
      </w:pPr>
    </w:p>
    <w:p w14:paraId="2F5C9D31" w14:textId="77777777" w:rsidR="00EC34B1" w:rsidRDefault="00EC34B1" w:rsidP="00EC34B1">
      <w:pPr>
        <w:spacing w:line="480" w:lineRule="auto"/>
        <w:rPr>
          <w:rFonts w:eastAsia="Calibri"/>
          <w:b/>
        </w:rPr>
      </w:pPr>
    </w:p>
    <w:p w14:paraId="0F07201E" w14:textId="77777777" w:rsidR="00EC34B1" w:rsidRDefault="00EC34B1" w:rsidP="00EC34B1">
      <w:pPr>
        <w:spacing w:line="480" w:lineRule="auto"/>
        <w:rPr>
          <w:rFonts w:eastAsia="Calibri"/>
          <w:b/>
        </w:rPr>
      </w:pPr>
    </w:p>
    <w:p w14:paraId="1F67E509" w14:textId="77777777" w:rsidR="00EC34B1" w:rsidRDefault="00EC34B1" w:rsidP="00EC34B1">
      <w:pPr>
        <w:spacing w:line="480" w:lineRule="auto"/>
        <w:rPr>
          <w:rFonts w:eastAsia="Calibri"/>
          <w:b/>
        </w:rPr>
      </w:pPr>
    </w:p>
    <w:p w14:paraId="6FCA3E58" w14:textId="77777777" w:rsidR="00EC34B1" w:rsidRDefault="00EC34B1" w:rsidP="00EC34B1">
      <w:pPr>
        <w:spacing w:line="480" w:lineRule="auto"/>
        <w:rPr>
          <w:rFonts w:eastAsia="Calibri"/>
          <w:b/>
        </w:rPr>
      </w:pPr>
    </w:p>
    <w:p w14:paraId="3CC69906" w14:textId="77777777" w:rsidR="00EC34B1" w:rsidRDefault="00EC34B1" w:rsidP="00EC34B1">
      <w:pPr>
        <w:spacing w:line="480" w:lineRule="auto"/>
        <w:rPr>
          <w:rFonts w:eastAsia="Calibri"/>
          <w:b/>
        </w:rPr>
      </w:pPr>
    </w:p>
    <w:p w14:paraId="29E95A1E" w14:textId="77777777" w:rsidR="00EC34B1" w:rsidRPr="00EC34B1" w:rsidRDefault="00EC34B1" w:rsidP="00EC34B1">
      <w:pPr>
        <w:spacing w:line="480" w:lineRule="auto"/>
        <w:rPr>
          <w:rFonts w:eastAsia="Calibri"/>
          <w:b/>
        </w:rPr>
      </w:pPr>
    </w:p>
    <w:p w14:paraId="7832E9B1" w14:textId="77777777" w:rsidR="00EC34B1" w:rsidRPr="00EC34B1" w:rsidRDefault="00EC34B1" w:rsidP="00EC34B1">
      <w:pPr>
        <w:spacing w:line="480" w:lineRule="auto"/>
        <w:jc w:val="center"/>
        <w:outlineLvl w:val="0"/>
        <w:rPr>
          <w:rFonts w:eastAsia="Calibri"/>
        </w:rPr>
      </w:pPr>
      <w:r w:rsidRPr="00EC34B1">
        <w:rPr>
          <w:rFonts w:eastAsia="Calibri"/>
          <w:b/>
        </w:rPr>
        <w:t>Developing the Reflective Teacher</w:t>
      </w:r>
    </w:p>
    <w:p w14:paraId="543C1F5D" w14:textId="77777777" w:rsidR="00EC34B1" w:rsidRPr="00EC34B1" w:rsidRDefault="00EC34B1" w:rsidP="00EC34B1">
      <w:pPr>
        <w:spacing w:line="480" w:lineRule="auto"/>
        <w:ind w:firstLine="720"/>
        <w:rPr>
          <w:rFonts w:eastAsia="Calibri"/>
        </w:rPr>
      </w:pPr>
      <w:r w:rsidRPr="00EC34B1">
        <w:rPr>
          <w:rFonts w:eastAsia="Calibri"/>
        </w:rPr>
        <w:t xml:space="preserve">Supervising professors of field-based practicums may understand the importance of reflection by teacher candidates (TCs), but a clear understanding of how to implement the practice of self-reflection in field experiences may not exist. </w:t>
      </w:r>
      <w:r w:rsidR="002A2E1F">
        <w:rPr>
          <w:rFonts w:eastAsia="Calibri"/>
        </w:rPr>
        <w:t xml:space="preserve"> </w:t>
      </w:r>
      <w:r w:rsidRPr="00EC34B1">
        <w:rPr>
          <w:rFonts w:eastAsia="Calibri"/>
        </w:rPr>
        <w:t xml:space="preserve">First, professors must have a clear understanding of what critical reflection looks like and then how to effectively implement the practice throughout the practicum. </w:t>
      </w:r>
      <w:r w:rsidR="002A2E1F">
        <w:rPr>
          <w:rFonts w:eastAsia="Calibri"/>
        </w:rPr>
        <w:t xml:space="preserve"> </w:t>
      </w:r>
      <w:r w:rsidRPr="00EC34B1">
        <w:rPr>
          <w:rFonts w:eastAsia="Calibri"/>
        </w:rPr>
        <w:t xml:space="preserve">Understanding how to implement critical reflection may be difficult due to the varying perspectives on the topic; simply adding the qualifier ‘critical’ to the term reflection does not result in a deeper level of reflection (Brookfield, 2006). </w:t>
      </w:r>
      <w:r w:rsidR="002A2E1F">
        <w:rPr>
          <w:rFonts w:eastAsia="Calibri"/>
        </w:rPr>
        <w:t xml:space="preserve"> </w:t>
      </w:r>
      <w:r w:rsidRPr="00EC34B1">
        <w:rPr>
          <w:rFonts w:eastAsia="Calibri"/>
        </w:rPr>
        <w:t>The authors suggest critical reflection is both descriptive and prescriptive and a difference does exist between reflecting and critically reflecting.</w:t>
      </w:r>
    </w:p>
    <w:p w14:paraId="218C1A90" w14:textId="77777777" w:rsidR="00EC34B1" w:rsidRPr="00EC34B1" w:rsidRDefault="00EC34B1" w:rsidP="00EC34B1">
      <w:pPr>
        <w:spacing w:line="480" w:lineRule="auto"/>
        <w:ind w:firstLine="720"/>
        <w:rPr>
          <w:rFonts w:eastAsia="Calibri"/>
        </w:rPr>
      </w:pPr>
      <w:r w:rsidRPr="00EC34B1">
        <w:rPr>
          <w:rFonts w:eastAsia="Calibri"/>
        </w:rPr>
        <w:t xml:space="preserve">Centered on theories provided by Dewey and Schön, reflection is spontaneous and requires common sense. </w:t>
      </w:r>
      <w:r w:rsidR="002A2E1F">
        <w:rPr>
          <w:rFonts w:eastAsia="Calibri"/>
        </w:rPr>
        <w:t xml:space="preserve"> </w:t>
      </w:r>
      <w:r w:rsidRPr="00EC34B1">
        <w:rPr>
          <w:rFonts w:eastAsia="Calibri"/>
        </w:rPr>
        <w:t>Additional thoughts on reflection provided by Dewey and Schön propose “that reflection is the thinking process that gives coherence to an initially incoherent and unclear situation…experienced by the subject” (</w:t>
      </w:r>
      <w:proofErr w:type="spellStart"/>
      <w:r w:rsidRPr="00EC34B1">
        <w:rPr>
          <w:rFonts w:eastAsia="Calibri"/>
        </w:rPr>
        <w:t>Clará</w:t>
      </w:r>
      <w:proofErr w:type="spellEnd"/>
      <w:r w:rsidRPr="00EC34B1">
        <w:rPr>
          <w:rFonts w:eastAsia="Calibri"/>
        </w:rPr>
        <w:t xml:space="preserve">, 2015, p. 265). </w:t>
      </w:r>
      <w:r w:rsidR="002A2E1F">
        <w:rPr>
          <w:rFonts w:eastAsia="Calibri"/>
        </w:rPr>
        <w:t xml:space="preserve"> </w:t>
      </w:r>
      <w:r w:rsidRPr="00EC34B1">
        <w:rPr>
          <w:rFonts w:eastAsia="Calibri"/>
        </w:rPr>
        <w:t xml:space="preserve">John Dewey (1933), credited with instigating the concept of reflective learning, stressed the importance for teachers to take the time to reflect on observations and experiences as a way to nurture their student’s learning. </w:t>
      </w:r>
      <w:r w:rsidR="002A2E1F">
        <w:rPr>
          <w:rFonts w:eastAsia="Calibri"/>
        </w:rPr>
        <w:t xml:space="preserve"> </w:t>
      </w:r>
      <w:r w:rsidRPr="00EC34B1">
        <w:rPr>
          <w:rFonts w:eastAsia="Calibri"/>
        </w:rPr>
        <w:t xml:space="preserve">Schön (1987) argued theory and practice are driven by reflection-in-action and reflection-on-action. </w:t>
      </w:r>
      <w:r w:rsidR="002A2E1F">
        <w:rPr>
          <w:rFonts w:eastAsia="Calibri"/>
        </w:rPr>
        <w:t xml:space="preserve"> </w:t>
      </w:r>
      <w:r w:rsidRPr="00EC34B1">
        <w:rPr>
          <w:rFonts w:eastAsia="Calibri"/>
        </w:rPr>
        <w:t xml:space="preserve">Reflection-in-action pertains to the internal dialogue individuals experience while observing or implementing something as they interpret the current situation and make immediate decisions based on personal beliefs. </w:t>
      </w:r>
      <w:r w:rsidR="002A2E1F">
        <w:rPr>
          <w:rFonts w:eastAsia="Calibri"/>
        </w:rPr>
        <w:t xml:space="preserve"> </w:t>
      </w:r>
      <w:r w:rsidRPr="00EC34B1">
        <w:rPr>
          <w:rFonts w:eastAsia="Calibri"/>
        </w:rPr>
        <w:t xml:space="preserve">Reflection-on-action also requires an individual to consider personal experiences of the past and reflect on the present experience. </w:t>
      </w:r>
      <w:r w:rsidR="002A2E1F">
        <w:rPr>
          <w:rFonts w:eastAsia="Calibri"/>
        </w:rPr>
        <w:t xml:space="preserve"> </w:t>
      </w:r>
      <w:r w:rsidRPr="00EC34B1">
        <w:rPr>
          <w:rFonts w:eastAsia="Calibri"/>
        </w:rPr>
        <w:t xml:space="preserve">Reflection-on-action requires individuals to take reflection a step further by considering future implications. Some researchers (McAlpine &amp; Weston, 2000) refer to the additional step as reflection-for-action. The reflection-for-action is a key component in developing the TC because it allows the candidate to address theory and practice and redefine or confirm their personal beliefs in order to grow professionally. </w:t>
      </w:r>
      <w:r w:rsidR="002A2E1F">
        <w:rPr>
          <w:rFonts w:eastAsia="Calibri"/>
        </w:rPr>
        <w:t xml:space="preserve"> </w:t>
      </w:r>
      <w:r w:rsidRPr="00EC34B1">
        <w:rPr>
          <w:rFonts w:eastAsia="Calibri"/>
        </w:rPr>
        <w:t>Professors of practicums should provide opportunities for TCs to be active both physically and psychologically (reflection-in-action) through their experiences, but also have the opportunity to reflect in order to discover future professional needs (reflection-for-action).</w:t>
      </w:r>
    </w:p>
    <w:p w14:paraId="16E3CFBF" w14:textId="77777777" w:rsidR="00EC34B1" w:rsidRPr="00EC34B1" w:rsidRDefault="00EC34B1" w:rsidP="00EC34B1">
      <w:pPr>
        <w:spacing w:line="480" w:lineRule="auto"/>
        <w:ind w:firstLine="720"/>
        <w:rPr>
          <w:rFonts w:eastAsia="Calibri"/>
        </w:rPr>
      </w:pPr>
      <w:r w:rsidRPr="00EC34B1">
        <w:rPr>
          <w:rFonts w:eastAsia="Calibri"/>
        </w:rPr>
        <w:t>The expectations and demands of the teaching profession may lead to a routine approach to providing instruction and as a result place the focus on teaching content rather than teaching students.</w:t>
      </w:r>
      <w:r w:rsidR="002A2E1F">
        <w:rPr>
          <w:rFonts w:eastAsia="Calibri"/>
        </w:rPr>
        <w:t xml:space="preserve"> </w:t>
      </w:r>
      <w:r w:rsidRPr="00EC34B1">
        <w:rPr>
          <w:rFonts w:eastAsia="Calibri"/>
        </w:rPr>
        <w:t xml:space="preserve"> Dewey (1933) considered the act of reflection as a departure from routine behavior; therefore, routine should not be synonymous with reflective practices. </w:t>
      </w:r>
      <w:r w:rsidR="002A2E1F">
        <w:rPr>
          <w:rFonts w:eastAsia="Calibri"/>
        </w:rPr>
        <w:t xml:space="preserve"> </w:t>
      </w:r>
      <w:r w:rsidRPr="00EC34B1">
        <w:rPr>
          <w:rFonts w:eastAsia="Calibri"/>
        </w:rPr>
        <w:t xml:space="preserve">The act of critical reflection shifts the focus from a routine of teaching content to analyzing practices and the impact those practices have on student success. </w:t>
      </w:r>
      <w:r w:rsidR="002A2E1F">
        <w:rPr>
          <w:rFonts w:eastAsia="Calibri"/>
        </w:rPr>
        <w:t xml:space="preserve"> </w:t>
      </w:r>
      <w:r w:rsidRPr="00EC34B1">
        <w:rPr>
          <w:rFonts w:eastAsia="Calibri"/>
        </w:rPr>
        <w:t xml:space="preserve">Although there may be varying perspectives related to critical reflection, the authors focused on a pragmatic or constructive perspective where “critical reflection is evident when people realize how they are active constructors of their own experience in a world of open possibilities” (Brookfield, 2006, pg.296). </w:t>
      </w:r>
      <w:r w:rsidR="002A2E1F">
        <w:rPr>
          <w:rFonts w:eastAsia="Calibri"/>
        </w:rPr>
        <w:t xml:space="preserve"> </w:t>
      </w:r>
      <w:r w:rsidRPr="00EC34B1">
        <w:rPr>
          <w:rFonts w:eastAsia="Calibri"/>
        </w:rPr>
        <w:t xml:space="preserve">Therefore, critical reflection should involve an examination “of ends and a deliberation of the moral and ethical dimensions of education to allow teachers to see the connections between what they do in the classroom and the broader social and political contexts surrounding their work in schools” (Bates, Ramirez, &amp; </w:t>
      </w:r>
      <w:proofErr w:type="spellStart"/>
      <w:r w:rsidRPr="00EC34B1">
        <w:rPr>
          <w:rFonts w:eastAsia="Calibri"/>
        </w:rPr>
        <w:t>Drits</w:t>
      </w:r>
      <w:proofErr w:type="spellEnd"/>
      <w:r w:rsidRPr="00EC34B1">
        <w:rPr>
          <w:rFonts w:eastAsia="Calibri"/>
        </w:rPr>
        <w:t>, 2009, pg.93).</w:t>
      </w:r>
    </w:p>
    <w:p w14:paraId="3CA5862A" w14:textId="77777777" w:rsidR="00EC34B1" w:rsidRPr="00EC34B1" w:rsidRDefault="00EC34B1" w:rsidP="00EC34B1">
      <w:pPr>
        <w:spacing w:line="480" w:lineRule="auto"/>
        <w:ind w:firstLine="720"/>
        <w:rPr>
          <w:rFonts w:eastAsia="Calibri"/>
        </w:rPr>
      </w:pPr>
      <w:r w:rsidRPr="00EC34B1">
        <w:rPr>
          <w:rFonts w:eastAsia="Calibri"/>
        </w:rPr>
        <w:t>Due to the inconsistency related to the meaning of reflection, the practice of reflection can easily shift from an important aspect for understanding and improving teaching to a pointless assignment to complete.</w:t>
      </w:r>
      <w:r w:rsidR="002A2E1F">
        <w:rPr>
          <w:rFonts w:eastAsia="Calibri"/>
        </w:rPr>
        <w:t xml:space="preserve"> </w:t>
      </w:r>
      <w:r w:rsidRPr="00EC34B1">
        <w:rPr>
          <w:rFonts w:eastAsia="Calibri"/>
        </w:rPr>
        <w:t xml:space="preserve"> Therefore, reflection can turn into a summary of actions rather than critical analysis of observations and practices. </w:t>
      </w:r>
      <w:r w:rsidR="002A2E1F">
        <w:rPr>
          <w:rFonts w:eastAsia="Calibri"/>
        </w:rPr>
        <w:t xml:space="preserve"> </w:t>
      </w:r>
      <w:r w:rsidRPr="00EC34B1">
        <w:rPr>
          <w:rFonts w:eastAsia="Calibri"/>
        </w:rPr>
        <w:t xml:space="preserve">Critical reflection is an inquiry approach that promotes the understanding of how an analysis of a teacher’s instructional practices can lead to continued growth for understanding concepts and practices. </w:t>
      </w:r>
      <w:r w:rsidR="002A2E1F">
        <w:rPr>
          <w:rFonts w:eastAsia="Calibri"/>
        </w:rPr>
        <w:t xml:space="preserve"> </w:t>
      </w:r>
      <w:r w:rsidRPr="00EC34B1">
        <w:rPr>
          <w:rFonts w:eastAsia="Calibri"/>
        </w:rPr>
        <w:t>A common practice for implementing reflection are journals, much like diaries of observed events, lacking a meaningful analysis that can be provided through the use of critical reflection.</w:t>
      </w:r>
      <w:r w:rsidR="002A2E1F">
        <w:rPr>
          <w:rFonts w:eastAsia="Calibri"/>
        </w:rPr>
        <w:t xml:space="preserve"> </w:t>
      </w:r>
      <w:r w:rsidRPr="00EC34B1">
        <w:rPr>
          <w:rFonts w:eastAsia="Calibri"/>
        </w:rPr>
        <w:t xml:space="preserve"> “Occasionally the prospective teachers are asked to ‘reflect’ on one particular event during the observation. </w:t>
      </w:r>
      <w:r w:rsidR="002A2E1F">
        <w:rPr>
          <w:rFonts w:eastAsia="Calibri"/>
        </w:rPr>
        <w:t xml:space="preserve"> </w:t>
      </w:r>
      <w:r w:rsidRPr="00EC34B1">
        <w:rPr>
          <w:rFonts w:eastAsia="Calibri"/>
        </w:rPr>
        <w:t>The problem is when the aspiring teachers present personal response journals of this nature they believe they have actually engaged in reflective thinking” (</w:t>
      </w:r>
      <w:proofErr w:type="spellStart"/>
      <w:r w:rsidRPr="00EC34B1">
        <w:rPr>
          <w:rFonts w:eastAsia="Calibri"/>
        </w:rPr>
        <w:t>Hrevnack</w:t>
      </w:r>
      <w:proofErr w:type="spellEnd"/>
      <w:r w:rsidRPr="00EC34B1">
        <w:rPr>
          <w:rFonts w:eastAsia="Calibri"/>
        </w:rPr>
        <w:t xml:space="preserve"> 2011, p.83). </w:t>
      </w:r>
      <w:r w:rsidR="002A2E1F">
        <w:rPr>
          <w:rFonts w:eastAsia="Calibri"/>
        </w:rPr>
        <w:t xml:space="preserve"> </w:t>
      </w:r>
      <w:r w:rsidRPr="00EC34B1">
        <w:rPr>
          <w:rFonts w:eastAsia="Calibri"/>
        </w:rPr>
        <w:t xml:space="preserve">Critical reflection should lead to a change or transformation. </w:t>
      </w:r>
      <w:r w:rsidR="002A2E1F">
        <w:rPr>
          <w:rFonts w:eastAsia="Calibri"/>
        </w:rPr>
        <w:t xml:space="preserve"> </w:t>
      </w:r>
      <w:r w:rsidRPr="00EC34B1">
        <w:rPr>
          <w:rFonts w:eastAsia="Calibri"/>
        </w:rPr>
        <w:t>Whereas the act of reflection results in a conclusion to a situation, critical reflection is an ongoing process leading to further exploration.</w:t>
      </w:r>
    </w:p>
    <w:p w14:paraId="3518C071" w14:textId="77777777" w:rsidR="00EC34B1" w:rsidRPr="00EC34B1" w:rsidRDefault="00EC34B1" w:rsidP="00EC34B1">
      <w:pPr>
        <w:spacing w:line="480" w:lineRule="auto"/>
        <w:jc w:val="center"/>
        <w:outlineLvl w:val="0"/>
        <w:rPr>
          <w:rFonts w:eastAsia="Calibri"/>
          <w:b/>
        </w:rPr>
      </w:pPr>
      <w:r w:rsidRPr="00EC34B1">
        <w:rPr>
          <w:rFonts w:eastAsia="Calibri"/>
          <w:b/>
        </w:rPr>
        <w:t>Benefits of Requiring Critical Reflection</w:t>
      </w:r>
    </w:p>
    <w:p w14:paraId="119B77F6" w14:textId="77777777" w:rsidR="00EC34B1" w:rsidRPr="00EC34B1" w:rsidRDefault="00EC34B1" w:rsidP="00EC34B1">
      <w:pPr>
        <w:spacing w:line="480" w:lineRule="auto"/>
        <w:ind w:firstLine="720"/>
        <w:rPr>
          <w:rFonts w:eastAsia="Calibri"/>
        </w:rPr>
      </w:pPr>
      <w:r w:rsidRPr="00EC34B1">
        <w:rPr>
          <w:rFonts w:eastAsia="Calibri"/>
        </w:rPr>
        <w:t xml:space="preserve">For most candidates, applying theory to practice is not a natural transition that comes easily due to the differences of what has been taught and what is experienced. </w:t>
      </w:r>
      <w:r w:rsidR="002A2E1F">
        <w:rPr>
          <w:rFonts w:eastAsia="Calibri"/>
        </w:rPr>
        <w:t xml:space="preserve"> </w:t>
      </w:r>
      <w:r w:rsidRPr="00EC34B1">
        <w:rPr>
          <w:rFonts w:eastAsia="Calibri"/>
        </w:rPr>
        <w:t>The same can be said for instructional coursework prior to practicums because what is learned in the TCs’ classrooms is not always as complex as what is experienced in the practicum.</w:t>
      </w:r>
      <w:r w:rsidR="002A2E1F">
        <w:rPr>
          <w:rFonts w:eastAsia="Calibri"/>
        </w:rPr>
        <w:t xml:space="preserve"> </w:t>
      </w:r>
      <w:r w:rsidRPr="00EC34B1">
        <w:rPr>
          <w:rFonts w:eastAsia="Calibri"/>
        </w:rPr>
        <w:t xml:space="preserve"> It is the job of the professor to provide guidance that will assist TCs understanding of the importance of reflection and provide opportunities to define or refine their own beliefs, values, and perspectives about teaching in order to enhance their practicum.</w:t>
      </w:r>
    </w:p>
    <w:p w14:paraId="1455C1BB" w14:textId="77777777" w:rsidR="00EC34B1" w:rsidRPr="00EC34B1" w:rsidRDefault="00EC34B1" w:rsidP="00EC34B1">
      <w:pPr>
        <w:spacing w:line="480" w:lineRule="auto"/>
        <w:jc w:val="center"/>
        <w:outlineLvl w:val="0"/>
        <w:rPr>
          <w:rFonts w:eastAsia="Calibri"/>
          <w:b/>
        </w:rPr>
      </w:pPr>
      <w:r w:rsidRPr="00EC34B1">
        <w:rPr>
          <w:rFonts w:eastAsia="Calibri"/>
          <w:b/>
        </w:rPr>
        <w:t>Methods and Support for Critical Reflection</w:t>
      </w:r>
    </w:p>
    <w:p w14:paraId="38F5E09A" w14:textId="77777777" w:rsidR="00EC34B1" w:rsidRPr="00EC34B1" w:rsidRDefault="00EC34B1" w:rsidP="00EC34B1">
      <w:pPr>
        <w:spacing w:line="480" w:lineRule="auto"/>
        <w:ind w:firstLine="720"/>
        <w:rPr>
          <w:rFonts w:eastAsia="Calibri"/>
        </w:rPr>
      </w:pPr>
      <w:r w:rsidRPr="00EC34B1">
        <w:rPr>
          <w:rFonts w:eastAsia="Calibri"/>
        </w:rPr>
        <w:t xml:space="preserve">Throughout the field experience the two professors adjusted their methods for supporting their TCs; the same opportunities to reflect were consistently implemented. </w:t>
      </w:r>
      <w:r w:rsidR="002A2E1F">
        <w:rPr>
          <w:rFonts w:eastAsia="Calibri"/>
        </w:rPr>
        <w:t xml:space="preserve"> </w:t>
      </w:r>
      <w:r w:rsidRPr="00EC34B1">
        <w:rPr>
          <w:rFonts w:eastAsia="Calibri"/>
        </w:rPr>
        <w:t xml:space="preserve">As a result, the professors discovered three key points similar to those found in a study conducted by Bates et.al (2009) on the impact of critical reflection during practicums. </w:t>
      </w:r>
      <w:r w:rsidR="002A2E1F">
        <w:rPr>
          <w:rFonts w:eastAsia="Calibri"/>
        </w:rPr>
        <w:t xml:space="preserve"> </w:t>
      </w:r>
      <w:r w:rsidRPr="00EC34B1">
        <w:rPr>
          <w:rFonts w:eastAsia="Calibri"/>
        </w:rPr>
        <w:t>The three key points include</w:t>
      </w:r>
      <w:r w:rsidR="002A2E1F">
        <w:rPr>
          <w:rFonts w:eastAsia="Calibri"/>
        </w:rPr>
        <w:t>:</w:t>
      </w:r>
    </w:p>
    <w:p w14:paraId="4BB63A3A" w14:textId="77777777" w:rsidR="00EC34B1" w:rsidRPr="00EC34B1" w:rsidRDefault="00EC34B1" w:rsidP="00EC34B1">
      <w:pPr>
        <w:spacing w:line="480" w:lineRule="auto"/>
        <w:ind w:left="720"/>
        <w:rPr>
          <w:rFonts w:eastAsia="Calibri"/>
        </w:rPr>
      </w:pPr>
      <w:r w:rsidRPr="00EC34B1">
        <w:rPr>
          <w:rFonts w:eastAsia="Calibri"/>
        </w:rPr>
        <w:t xml:space="preserve">(a) an understanding of critical reflection is something that builds over time for TCs through exposure to their professor’s practice; </w:t>
      </w:r>
    </w:p>
    <w:p w14:paraId="28E4AB72" w14:textId="77777777" w:rsidR="00EC34B1" w:rsidRPr="00EC34B1" w:rsidRDefault="00EC34B1" w:rsidP="00EC34B1">
      <w:pPr>
        <w:spacing w:line="480" w:lineRule="auto"/>
        <w:ind w:left="720"/>
        <w:rPr>
          <w:rFonts w:eastAsia="Calibri"/>
        </w:rPr>
      </w:pPr>
      <w:r w:rsidRPr="00EC34B1">
        <w:rPr>
          <w:rFonts w:eastAsia="Calibri"/>
        </w:rPr>
        <w:t xml:space="preserve">(b) explicitly modeling, guiding, and communicating the importance of critical reflection in teaching practice through supervisory stance helps TCs develop critically reflective practices and understandings; </w:t>
      </w:r>
    </w:p>
    <w:p w14:paraId="67920F3A" w14:textId="77777777" w:rsidR="00EC34B1" w:rsidRPr="00EC34B1" w:rsidRDefault="00EC34B1" w:rsidP="00EC34B1">
      <w:pPr>
        <w:spacing w:line="480" w:lineRule="auto"/>
        <w:ind w:left="720"/>
        <w:rPr>
          <w:rFonts w:eastAsia="Calibri"/>
        </w:rPr>
      </w:pPr>
      <w:r w:rsidRPr="00EC34B1">
        <w:rPr>
          <w:rFonts w:eastAsia="Calibri"/>
        </w:rPr>
        <w:t xml:space="preserve">(c) developing critical reflection in their individual and shared practices takes time for both parties. </w:t>
      </w:r>
    </w:p>
    <w:p w14:paraId="695F039A" w14:textId="77777777" w:rsidR="00EC34B1" w:rsidRPr="00EC34B1" w:rsidRDefault="00EC34B1" w:rsidP="00EC34B1">
      <w:pPr>
        <w:spacing w:line="480" w:lineRule="auto"/>
        <w:ind w:firstLine="720"/>
        <w:rPr>
          <w:rFonts w:eastAsia="Calibri"/>
        </w:rPr>
      </w:pPr>
      <w:r w:rsidRPr="00EC34B1">
        <w:rPr>
          <w:rFonts w:eastAsia="Calibri"/>
        </w:rPr>
        <w:t>It is important for educators to have the ability to reflect about instruction and classroom management.</w:t>
      </w:r>
      <w:r w:rsidR="002A2E1F">
        <w:rPr>
          <w:rFonts w:eastAsia="Calibri"/>
        </w:rPr>
        <w:t xml:space="preserve"> </w:t>
      </w:r>
      <w:r w:rsidRPr="00EC34B1">
        <w:rPr>
          <w:rFonts w:eastAsia="Calibri"/>
        </w:rPr>
        <w:t xml:space="preserve"> TCs will benefit from thinking deeply about what they are seeing and experiencing in the field, challenging them to think about an issue from various viewpoints, encouraging them to dig deep for resolutions and clarifications, and learn more profound lessons that would continue with them long after they graduated and moved on to their own classrooms.</w:t>
      </w:r>
    </w:p>
    <w:p w14:paraId="7D1A1B7C" w14:textId="77777777" w:rsidR="00EC34B1" w:rsidRPr="00EC34B1" w:rsidRDefault="00EC34B1" w:rsidP="00EC34B1">
      <w:pPr>
        <w:spacing w:line="480" w:lineRule="auto"/>
        <w:ind w:firstLine="720"/>
        <w:rPr>
          <w:rFonts w:eastAsia="Calibri"/>
        </w:rPr>
      </w:pPr>
      <w:r w:rsidRPr="00EC34B1">
        <w:t>“</w:t>
      </w:r>
      <w:r w:rsidRPr="00EC34B1">
        <w:rPr>
          <w:rFonts w:eastAsia="Calibri"/>
        </w:rPr>
        <w:t xml:space="preserve">For many TCs, critical reflection does not seem to be a naturally occurring trait or tendency; it needs to be introduced, fostered, reinforced, guided, and so on until the students begin to take responsibility for their reflections themselves and the supervisors slowly progress to more a listener and less a questioner” (Bates, et. al, 2009, p. 99). </w:t>
      </w:r>
      <w:r w:rsidR="002A2E1F">
        <w:rPr>
          <w:rFonts w:eastAsia="Calibri"/>
        </w:rPr>
        <w:t xml:space="preserve"> </w:t>
      </w:r>
      <w:r w:rsidRPr="00EC34B1">
        <w:t xml:space="preserve">The professor must understand how to scaffold support, challenging TCs to improve the depth of their reflections, and integrate theory and practice effectively. </w:t>
      </w:r>
      <w:r w:rsidR="002A2E1F">
        <w:t xml:space="preserve"> </w:t>
      </w:r>
      <w:r w:rsidRPr="00EC34B1">
        <w:rPr>
          <w:rFonts w:eastAsia="Calibri"/>
        </w:rPr>
        <w:t xml:space="preserve">We do not actually learn from experience as much as we learn from reflecting on experience, turning a subject over in the mind and giving it serious and consecutive consideration, </w:t>
      </w:r>
      <w:r w:rsidRPr="00EC34B1">
        <w:t>(</w:t>
      </w:r>
      <w:r w:rsidRPr="00EC34B1">
        <w:rPr>
          <w:rFonts w:eastAsia="Calibri"/>
        </w:rPr>
        <w:t xml:space="preserve">Dewey, 1933). </w:t>
      </w:r>
      <w:r w:rsidR="002A2E1F">
        <w:rPr>
          <w:rFonts w:eastAsia="Calibri"/>
        </w:rPr>
        <w:t xml:space="preserve"> </w:t>
      </w:r>
      <w:r w:rsidRPr="00EC34B1">
        <w:t>The quality of the event or stimulus that initiates the reflection may impact the quality of the reflection (</w:t>
      </w:r>
      <w:proofErr w:type="spellStart"/>
      <w:r w:rsidRPr="00EC34B1">
        <w:t>Surbeck</w:t>
      </w:r>
      <w:proofErr w:type="spellEnd"/>
      <w:r w:rsidRPr="00EC34B1">
        <w:t xml:space="preserve">, Park, and Moyer, 1991). </w:t>
      </w:r>
      <w:r w:rsidR="002A2E1F">
        <w:t xml:space="preserve"> </w:t>
      </w:r>
      <w:r w:rsidRPr="00EC34B1">
        <w:t>To achieve this goal, professors provided clearly defined student learning outcomes and designed reflection activities to achieve the student learning outcomes.</w:t>
      </w:r>
    </w:p>
    <w:p w14:paraId="6D9D5D81" w14:textId="77777777" w:rsidR="00EC34B1" w:rsidRPr="00EC34B1" w:rsidRDefault="00EC34B1" w:rsidP="00EC34B1">
      <w:pPr>
        <w:spacing w:line="480" w:lineRule="auto"/>
        <w:jc w:val="center"/>
        <w:outlineLvl w:val="0"/>
        <w:rPr>
          <w:rFonts w:eastAsia="Calibri"/>
          <w:b/>
        </w:rPr>
      </w:pPr>
      <w:r w:rsidRPr="00EC34B1">
        <w:rPr>
          <w:rFonts w:eastAsia="Calibri"/>
          <w:b/>
        </w:rPr>
        <w:t>Using Guiding Questions to Promote Critical Self-</w:t>
      </w:r>
      <w:r>
        <w:rPr>
          <w:rFonts w:eastAsia="Calibri"/>
          <w:b/>
        </w:rPr>
        <w:t>R</w:t>
      </w:r>
      <w:r w:rsidRPr="00EC34B1">
        <w:rPr>
          <w:rFonts w:eastAsia="Calibri"/>
          <w:b/>
        </w:rPr>
        <w:t>eflection</w:t>
      </w:r>
    </w:p>
    <w:p w14:paraId="491908A3" w14:textId="77777777" w:rsidR="00EC34B1" w:rsidRPr="00EC34B1" w:rsidRDefault="00EC34B1" w:rsidP="00EC34B1">
      <w:pPr>
        <w:spacing w:line="480" w:lineRule="auto"/>
        <w:ind w:firstLine="720"/>
        <w:rPr>
          <w:rFonts w:eastAsia="Calibri"/>
        </w:rPr>
      </w:pPr>
      <w:r w:rsidRPr="00EC34B1">
        <w:rPr>
          <w:rFonts w:eastAsia="Calibri"/>
        </w:rPr>
        <w:t xml:space="preserve">Because this is the TCs’ first experience with critical reflection, it is important to guide them by using an instructional strategy of asking probing questions, and as Wegner (1998) suggest, help them focus on the relationship between theory and practice. </w:t>
      </w:r>
      <w:r w:rsidR="002A2E1F">
        <w:rPr>
          <w:rFonts w:eastAsia="Calibri"/>
        </w:rPr>
        <w:t xml:space="preserve"> </w:t>
      </w:r>
      <w:r w:rsidRPr="00EC34B1">
        <w:rPr>
          <w:rFonts w:eastAsia="Calibri"/>
        </w:rPr>
        <w:t xml:space="preserve">This is important because asking thought-provoking questions will more likely help the TCs to discover assumptions that may hinder reflective practice (Brookfield, 2006; </w:t>
      </w:r>
      <w:proofErr w:type="spellStart"/>
      <w:r w:rsidRPr="00EC34B1">
        <w:rPr>
          <w:rFonts w:eastAsia="Calibri"/>
        </w:rPr>
        <w:t>Mezirow</w:t>
      </w:r>
      <w:proofErr w:type="spellEnd"/>
      <w:r w:rsidRPr="00EC34B1">
        <w:rPr>
          <w:rFonts w:eastAsia="Calibri"/>
        </w:rPr>
        <w:t xml:space="preserve">, 2000). </w:t>
      </w:r>
      <w:r w:rsidR="00AB0C56">
        <w:rPr>
          <w:rFonts w:eastAsia="Calibri"/>
        </w:rPr>
        <w:t xml:space="preserve"> </w:t>
      </w:r>
      <w:r w:rsidRPr="00EC34B1">
        <w:rPr>
          <w:rFonts w:eastAsia="Calibri"/>
        </w:rPr>
        <w:t>In order to promote ongoing learning, it is vital to teach the TCs to constantly question themselves (Nieto, 1999) by not only identifying questions, but also key elements of a matter viewed as significant, then taking one’s thoughts into an inner dialogue with oneself (Palmer, 1998) and with others. Insight can be gained from this process with reference to (1) additional perspectives, (2) one’s own values, experiences, and beliefs, and (3) the larger context within which the questions are raised. (Jay &amp; Johnson, 2002).</w:t>
      </w:r>
    </w:p>
    <w:p w14:paraId="606D28E8" w14:textId="77777777" w:rsidR="00EC34B1" w:rsidRPr="00EC34B1" w:rsidRDefault="00EC34B1" w:rsidP="00EC34B1">
      <w:pPr>
        <w:spacing w:line="480" w:lineRule="auto"/>
        <w:ind w:firstLine="720"/>
        <w:rPr>
          <w:rFonts w:eastAsia="Calibri"/>
        </w:rPr>
      </w:pPr>
      <w:r w:rsidRPr="00EC34B1">
        <w:rPr>
          <w:rFonts w:eastAsia="Calibri"/>
        </w:rPr>
        <w:t>To better achieve critical reflection, constructivist methods of utilizing questions to promote critical-reflection, as opposed to the too often used compulsory ones, combined with theory and practice, are applied to help groom the TCs to be a life-long learner by acknowledging the value of applying critical reflection of their teaching instead of simply being taught (Cochran-Smith &amp; Lytle, 2009).</w:t>
      </w:r>
      <w:r w:rsidR="00AB0C56">
        <w:rPr>
          <w:rFonts w:eastAsia="Calibri"/>
        </w:rPr>
        <w:t xml:space="preserve"> </w:t>
      </w:r>
      <w:r w:rsidRPr="00EC34B1">
        <w:rPr>
          <w:rFonts w:eastAsia="Calibri"/>
        </w:rPr>
        <w:t xml:space="preserve"> In the end, questions will result in a cognitive change (Yost &amp; </w:t>
      </w:r>
      <w:proofErr w:type="spellStart"/>
      <w:r w:rsidRPr="00EC34B1">
        <w:rPr>
          <w:rFonts w:eastAsia="Calibri"/>
        </w:rPr>
        <w:t>Forlenza</w:t>
      </w:r>
      <w:proofErr w:type="spellEnd"/>
      <w:r w:rsidRPr="00EC34B1">
        <w:rPr>
          <w:rFonts w:eastAsia="Calibri"/>
        </w:rPr>
        <w:t>-Bailey, 2000).</w:t>
      </w:r>
    </w:p>
    <w:p w14:paraId="56C7485D" w14:textId="77777777" w:rsidR="00EC34B1" w:rsidRPr="00EC34B1" w:rsidRDefault="00EC34B1" w:rsidP="00EC34B1">
      <w:pPr>
        <w:spacing w:line="480" w:lineRule="auto"/>
        <w:ind w:firstLine="720"/>
        <w:rPr>
          <w:rFonts w:eastAsia="Calibri"/>
          <w:color w:val="000000"/>
        </w:rPr>
      </w:pPr>
      <w:r w:rsidRPr="00EC34B1">
        <w:rPr>
          <w:rFonts w:eastAsia="Calibri"/>
          <w:color w:val="000000"/>
        </w:rPr>
        <w:t xml:space="preserve">Providing questions for the different methods used to encourage critical reflection was an effective tool to support the TCs. </w:t>
      </w:r>
      <w:r w:rsidR="00AB0C56">
        <w:rPr>
          <w:rFonts w:eastAsia="Calibri"/>
          <w:color w:val="000000"/>
        </w:rPr>
        <w:t xml:space="preserve"> </w:t>
      </w:r>
      <w:r w:rsidRPr="00EC34B1">
        <w:rPr>
          <w:rFonts w:eastAsia="Calibri"/>
          <w:color w:val="000000"/>
        </w:rPr>
        <w:t>Even with the provision of questions, some TCs’ reflection was merely descriptive in content. while the majority developed a clear understanding of how questions would help guide them to analyze their list of events into a deeper reflection of what had occurred, and the direction needed to move forward.</w:t>
      </w:r>
    </w:p>
    <w:p w14:paraId="362FE9D5" w14:textId="77777777" w:rsidR="00EC34B1" w:rsidRPr="00EC34B1" w:rsidRDefault="00EC34B1" w:rsidP="00EC34B1">
      <w:pPr>
        <w:jc w:val="center"/>
        <w:outlineLvl w:val="0"/>
        <w:rPr>
          <w:rFonts w:eastAsia="Calibri"/>
          <w:b/>
        </w:rPr>
      </w:pPr>
      <w:r w:rsidRPr="00EC34B1">
        <w:rPr>
          <w:rFonts w:eastAsia="Calibri"/>
          <w:b/>
        </w:rPr>
        <w:t>Conferences with Peers and Professors</w:t>
      </w:r>
    </w:p>
    <w:p w14:paraId="672A663F" w14:textId="77777777" w:rsidR="00EC34B1" w:rsidRPr="00EC34B1" w:rsidRDefault="00EC34B1" w:rsidP="00EC34B1">
      <w:pPr>
        <w:ind w:left="360"/>
        <w:rPr>
          <w:rFonts w:eastAsia="Calibri"/>
        </w:rPr>
      </w:pPr>
    </w:p>
    <w:p w14:paraId="60A15EDE" w14:textId="77777777" w:rsidR="00EC34B1" w:rsidRPr="00EC34B1" w:rsidRDefault="00EC34B1" w:rsidP="00EC34B1">
      <w:pPr>
        <w:spacing w:line="480" w:lineRule="auto"/>
        <w:ind w:firstLine="720"/>
        <w:rPr>
          <w:rFonts w:eastAsia="Calibri"/>
        </w:rPr>
      </w:pPr>
      <w:r w:rsidRPr="00EC34B1">
        <w:rPr>
          <w:rFonts w:eastAsia="Calibri"/>
        </w:rPr>
        <w:t>Two formats were utilized by the professors to provide opportunities for conferencing with professors and peers; weekly lab class meetings and scheduled evaluations.</w:t>
      </w:r>
      <w:r w:rsidR="004672BD">
        <w:rPr>
          <w:rFonts w:eastAsia="Calibri"/>
        </w:rPr>
        <w:t xml:space="preserve"> </w:t>
      </w:r>
      <w:r w:rsidRPr="00EC34B1">
        <w:rPr>
          <w:rFonts w:ascii="Calibri" w:eastAsia="Calibri" w:hAnsi="Calibri"/>
          <w:sz w:val="22"/>
          <w:szCs w:val="22"/>
        </w:rPr>
        <w:t xml:space="preserve"> </w:t>
      </w:r>
      <w:r w:rsidRPr="00EC34B1">
        <w:rPr>
          <w:rFonts w:eastAsia="Calibri"/>
        </w:rPr>
        <w:t xml:space="preserve">Each week, the TCs and professor met during a lab for the purpose to receive training for field experiences they are encountering as well as to discuss current events. </w:t>
      </w:r>
      <w:r w:rsidR="004672BD">
        <w:rPr>
          <w:rFonts w:eastAsia="Calibri"/>
        </w:rPr>
        <w:t xml:space="preserve"> </w:t>
      </w:r>
      <w:r w:rsidRPr="00EC34B1">
        <w:rPr>
          <w:rFonts w:eastAsia="Calibri"/>
        </w:rPr>
        <w:t xml:space="preserve">“One method of fostering critically reflective thinking in preservice teachers that has received a lot of attention in the literature recently is discussion or collaboration, which is believed to have potentially trans-formative effects” (Bates, et. al, 2009, pg. 102). </w:t>
      </w:r>
      <w:r w:rsidR="004672BD">
        <w:rPr>
          <w:rFonts w:eastAsia="Calibri"/>
        </w:rPr>
        <w:t xml:space="preserve"> </w:t>
      </w:r>
      <w:r w:rsidRPr="00EC34B1">
        <w:rPr>
          <w:rFonts w:eastAsia="Calibri"/>
        </w:rPr>
        <w:t>With the professor acting as a spectator, this becomes the perfect outlet for the TCs to become facilitators of knowledge by discussing with their peers and analyzing their own experiences.</w:t>
      </w:r>
    </w:p>
    <w:p w14:paraId="29C15EA4" w14:textId="77777777" w:rsidR="00EC34B1" w:rsidRPr="00EC34B1" w:rsidRDefault="00EC34B1" w:rsidP="00EC34B1">
      <w:pPr>
        <w:spacing w:line="480" w:lineRule="auto"/>
        <w:ind w:firstLine="720"/>
        <w:rPr>
          <w:rFonts w:eastAsia="Calibri"/>
        </w:rPr>
      </w:pPr>
      <w:r w:rsidRPr="00EC34B1">
        <w:rPr>
          <w:rFonts w:eastAsia="Calibri"/>
        </w:rPr>
        <w:t xml:space="preserve">It is also crucial for the professor to confer with their TCs throughout their field experience to detect the types of intervention essential for shaping mastery, as well as to be vigilant in checking and adapting the intensity of anticipation providing the responses that convince </w:t>
      </w:r>
      <w:r w:rsidRPr="00EC34B1">
        <w:rPr>
          <w:rFonts w:eastAsia="Calibri"/>
          <w:color w:val="000000"/>
        </w:rPr>
        <w:t xml:space="preserve">them </w:t>
      </w:r>
      <w:r w:rsidRPr="00EC34B1">
        <w:rPr>
          <w:rFonts w:eastAsia="Calibri"/>
        </w:rPr>
        <w:t>to get involved in improving the quality of their performance (Henson, 2001a). Professor</w:t>
      </w:r>
      <w:r w:rsidRPr="00EC34B1">
        <w:rPr>
          <w:rFonts w:eastAsia="Calibri"/>
          <w:color w:val="000000"/>
        </w:rPr>
        <w:t>s must</w:t>
      </w:r>
      <w:r w:rsidRPr="00EC34B1">
        <w:rPr>
          <w:rFonts w:eastAsia="Calibri"/>
        </w:rPr>
        <w:t xml:space="preserve"> review lessons with TCs (Puchner &amp; Taylor, 2006), offer consistent responses to individual goals they have established (</w:t>
      </w:r>
      <w:proofErr w:type="spellStart"/>
      <w:r w:rsidRPr="00EC34B1">
        <w:rPr>
          <w:rFonts w:eastAsia="Calibri"/>
        </w:rPr>
        <w:t>Labone</w:t>
      </w:r>
      <w:proofErr w:type="spellEnd"/>
      <w:r w:rsidRPr="00EC34B1">
        <w:rPr>
          <w:rFonts w:eastAsia="Calibri"/>
        </w:rPr>
        <w:t>, 2004), and help them recognize and translate mastery experiences all while developing self-adjusting abilities through self</w:t>
      </w:r>
      <w:r w:rsidRPr="00EC34B1">
        <w:rPr>
          <w:rFonts w:eastAsia="Calibri"/>
          <w:strike/>
        </w:rPr>
        <w:t>-</w:t>
      </w:r>
      <w:r w:rsidRPr="00EC34B1">
        <w:rPr>
          <w:rFonts w:eastAsia="Calibri"/>
        </w:rPr>
        <w:t>reflection.</w:t>
      </w:r>
    </w:p>
    <w:p w14:paraId="7A5873F2" w14:textId="77777777" w:rsidR="00EC34B1" w:rsidRPr="00EC34B1" w:rsidRDefault="00EC34B1" w:rsidP="00EC34B1">
      <w:pPr>
        <w:spacing w:line="480" w:lineRule="auto"/>
        <w:ind w:firstLine="720"/>
        <w:rPr>
          <w:rFonts w:eastAsia="Calibri"/>
        </w:rPr>
      </w:pPr>
      <w:r w:rsidRPr="00EC34B1">
        <w:rPr>
          <w:rFonts w:eastAsia="Calibri"/>
        </w:rPr>
        <w:t xml:space="preserve">When facilitating conferences, it is important to learn about the TCs’ concerns by allowing them the opportunity to talk. </w:t>
      </w:r>
      <w:r w:rsidR="004672BD">
        <w:rPr>
          <w:rFonts w:eastAsia="Calibri"/>
        </w:rPr>
        <w:t xml:space="preserve"> </w:t>
      </w:r>
      <w:r w:rsidRPr="00EC34B1">
        <w:rPr>
          <w:rFonts w:eastAsia="Calibri"/>
        </w:rPr>
        <w:t>This is a shift from the professor being the one to do all of the talking and instead being a listener.</w:t>
      </w:r>
      <w:r w:rsidR="004672BD">
        <w:rPr>
          <w:rFonts w:eastAsia="Calibri"/>
        </w:rPr>
        <w:t xml:space="preserve"> </w:t>
      </w:r>
      <w:r w:rsidRPr="00EC34B1">
        <w:rPr>
          <w:rFonts w:eastAsia="Calibri"/>
        </w:rPr>
        <w:t xml:space="preserve"> The professor should always be the one who facilitates the conference, keeping it focused, yet allowing them to feel comfortable enough to veer off the topic if needed.</w:t>
      </w:r>
      <w:r w:rsidR="004672BD">
        <w:rPr>
          <w:rFonts w:eastAsia="Calibri"/>
        </w:rPr>
        <w:t xml:space="preserve"> </w:t>
      </w:r>
      <w:r w:rsidRPr="00EC34B1">
        <w:rPr>
          <w:rFonts w:eastAsia="Calibri"/>
        </w:rPr>
        <w:t xml:space="preserve"> If conferences veer off topic, the professor decide</w:t>
      </w:r>
      <w:r w:rsidRPr="00EC34B1">
        <w:rPr>
          <w:rFonts w:eastAsia="Calibri"/>
          <w:color w:val="000000"/>
        </w:rPr>
        <w:t>s</w:t>
      </w:r>
      <w:r w:rsidRPr="00EC34B1">
        <w:rPr>
          <w:rFonts w:eastAsia="Calibri"/>
        </w:rPr>
        <w:t xml:space="preserve"> how to address the topic, whether it needs to be discussed immediately, or put off to another time. </w:t>
      </w:r>
      <w:r w:rsidR="004672BD">
        <w:rPr>
          <w:rFonts w:eastAsia="Calibri"/>
        </w:rPr>
        <w:t xml:space="preserve"> </w:t>
      </w:r>
      <w:r w:rsidRPr="00EC34B1">
        <w:rPr>
          <w:rFonts w:eastAsia="Calibri"/>
        </w:rPr>
        <w:t>It is important to always return to the original topic at hand, never too rigid and intense, which can stifle the intended outcome.</w:t>
      </w:r>
      <w:r w:rsidR="004672BD">
        <w:rPr>
          <w:rFonts w:eastAsia="Calibri"/>
        </w:rPr>
        <w:t xml:space="preserve"> </w:t>
      </w:r>
      <w:r w:rsidRPr="00EC34B1">
        <w:rPr>
          <w:rFonts w:eastAsia="Calibri"/>
        </w:rPr>
        <w:t xml:space="preserve"> The professor should make decisions based on what will help the TC move forward in their ability to reflect.</w:t>
      </w:r>
    </w:p>
    <w:p w14:paraId="2E64F7DC" w14:textId="77777777" w:rsidR="00EC34B1" w:rsidRPr="00EC34B1" w:rsidRDefault="00EC34B1" w:rsidP="00EC34B1">
      <w:pPr>
        <w:spacing w:line="480" w:lineRule="auto"/>
        <w:ind w:firstLine="720"/>
        <w:rPr>
          <w:rFonts w:eastAsia="Calibri"/>
        </w:rPr>
      </w:pPr>
      <w:r w:rsidRPr="00EC34B1">
        <w:rPr>
          <w:rFonts w:eastAsia="Calibri"/>
        </w:rPr>
        <w:t>There are many purposes of conducting individual conferences.</w:t>
      </w:r>
      <w:r w:rsidR="004672BD">
        <w:rPr>
          <w:rFonts w:eastAsia="Calibri"/>
        </w:rPr>
        <w:t xml:space="preserve"> </w:t>
      </w:r>
      <w:r w:rsidRPr="00EC34B1">
        <w:rPr>
          <w:rFonts w:eastAsia="Calibri"/>
        </w:rPr>
        <w:t xml:space="preserve"> For this practicum, the professor plans two observations focused on the TCs’ delivery of their small-group reading lesson and one observation focused on the TCs’ delivery of a whole class lesson. </w:t>
      </w:r>
      <w:r w:rsidR="004672BD">
        <w:rPr>
          <w:rFonts w:eastAsia="Calibri"/>
        </w:rPr>
        <w:t xml:space="preserve"> </w:t>
      </w:r>
      <w:r w:rsidRPr="00EC34B1">
        <w:rPr>
          <w:rFonts w:eastAsia="Calibri"/>
        </w:rPr>
        <w:t>The first of the two small-group observations is the pre-observation conference, which is intended to help set the stage for ensuring the TCs will be successful</w:t>
      </w:r>
      <w:r w:rsidR="004672BD">
        <w:rPr>
          <w:rFonts w:eastAsia="Calibri"/>
        </w:rPr>
        <w:t xml:space="preserve"> </w:t>
      </w:r>
      <w:r w:rsidRPr="00EC34B1">
        <w:rPr>
          <w:rFonts w:eastAsia="Calibri"/>
        </w:rPr>
        <w:t>. During this conference, both the professor and the TC review the previously crafted lesson plan.</w:t>
      </w:r>
    </w:p>
    <w:p w14:paraId="728590F4" w14:textId="77777777" w:rsidR="00EC34B1" w:rsidRPr="00EC34B1" w:rsidRDefault="00EC34B1" w:rsidP="00EC34B1">
      <w:pPr>
        <w:spacing w:line="480" w:lineRule="auto"/>
        <w:ind w:firstLine="720"/>
        <w:rPr>
          <w:rFonts w:eastAsia="Calibri"/>
        </w:rPr>
      </w:pPr>
      <w:r w:rsidRPr="00EC34B1">
        <w:rPr>
          <w:rFonts w:eastAsia="Calibri"/>
        </w:rPr>
        <w:t xml:space="preserve">To assist the TCs in being autonomist learners, the professor can use questions rather than direct orders to draw attention to areas needing revision. </w:t>
      </w:r>
      <w:proofErr w:type="spellStart"/>
      <w:r w:rsidRPr="00EC34B1">
        <w:rPr>
          <w:rFonts w:eastAsia="Calibri"/>
        </w:rPr>
        <w:t>Bartel</w:t>
      </w:r>
      <w:proofErr w:type="spellEnd"/>
      <w:r w:rsidRPr="00EC34B1">
        <w:rPr>
          <w:rFonts w:eastAsia="Calibri"/>
        </w:rPr>
        <w:t xml:space="preserve"> (2014) cautions that in order for the TCs to have ownership of his/her plan, the professor should suggest modifications only if it is really necessary.</w:t>
      </w:r>
      <w:r w:rsidR="004672BD">
        <w:rPr>
          <w:rFonts w:eastAsia="Calibri"/>
        </w:rPr>
        <w:t xml:space="preserve"> </w:t>
      </w:r>
      <w:r w:rsidRPr="00EC34B1">
        <w:rPr>
          <w:rFonts w:eastAsia="Calibri"/>
        </w:rPr>
        <w:t xml:space="preserve"> He (</w:t>
      </w:r>
      <w:proofErr w:type="spellStart"/>
      <w:r w:rsidRPr="00EC34B1">
        <w:rPr>
          <w:rFonts w:eastAsia="Calibri"/>
        </w:rPr>
        <w:t>Bartel</w:t>
      </w:r>
      <w:proofErr w:type="spellEnd"/>
      <w:r w:rsidRPr="00EC34B1">
        <w:rPr>
          <w:rFonts w:eastAsia="Calibri"/>
        </w:rPr>
        <w:t xml:space="preserve">, 2001) also encourages “a demonstration is an efficient way to learn what is demonstrated and an inefficient way to teach creativity. </w:t>
      </w:r>
      <w:r w:rsidR="004672BD">
        <w:rPr>
          <w:rFonts w:eastAsia="Calibri"/>
        </w:rPr>
        <w:t xml:space="preserve"> </w:t>
      </w:r>
      <w:r w:rsidRPr="00EC34B1">
        <w:rPr>
          <w:rFonts w:eastAsia="Calibri"/>
        </w:rPr>
        <w:t xml:space="preserve">Hands-on practice is more creative and an even better way to remember what is learned.” </w:t>
      </w:r>
      <w:r w:rsidR="004672BD">
        <w:rPr>
          <w:rFonts w:eastAsia="Calibri"/>
        </w:rPr>
        <w:t xml:space="preserve"> </w:t>
      </w:r>
      <w:r w:rsidRPr="00EC34B1">
        <w:rPr>
          <w:rFonts w:eastAsia="Calibri"/>
        </w:rPr>
        <w:t xml:space="preserve">Another proactive step for setting the TC up for success is to help them predict problems that may occur and how they can be handled when they do. </w:t>
      </w:r>
    </w:p>
    <w:p w14:paraId="0916DF46" w14:textId="77777777" w:rsidR="00EC34B1" w:rsidRPr="00EC34B1" w:rsidRDefault="00EC34B1" w:rsidP="00EC34B1">
      <w:pPr>
        <w:spacing w:line="480" w:lineRule="auto"/>
        <w:ind w:firstLine="720"/>
        <w:rPr>
          <w:rFonts w:eastAsia="Calibri"/>
        </w:rPr>
      </w:pPr>
      <w:r w:rsidRPr="00EC34B1">
        <w:rPr>
          <w:rFonts w:eastAsia="Calibri"/>
        </w:rPr>
        <w:t>During the pre-observation conference, the professor reviews the formal feedback form that requires both the TC and the professor to reflect on the process of planning and implementation of the lesson</w:t>
      </w:r>
      <w:r w:rsidRPr="00EC34B1">
        <w:rPr>
          <w:rFonts w:eastAsia="Calibri"/>
          <w:color w:val="000000"/>
        </w:rPr>
        <w:t>.</w:t>
      </w:r>
      <w:r w:rsidRPr="00EC34B1">
        <w:rPr>
          <w:rFonts w:eastAsia="Calibri"/>
        </w:rPr>
        <w:t xml:space="preserve"> </w:t>
      </w:r>
      <w:r w:rsidR="004672BD">
        <w:rPr>
          <w:rFonts w:eastAsia="Calibri"/>
        </w:rPr>
        <w:t xml:space="preserve"> </w:t>
      </w:r>
      <w:r w:rsidRPr="00EC34B1">
        <w:rPr>
          <w:rFonts w:eastAsia="Calibri"/>
        </w:rPr>
        <w:t>With these forms clearly explained to the TC, he/she will more likely be empowered to meet the expectations and produce a better quality of delivery (Wiggins, 1998) and in turn understand specific target areas to reflect upon.</w:t>
      </w:r>
    </w:p>
    <w:p w14:paraId="4D803301" w14:textId="77777777" w:rsidR="00EC34B1" w:rsidRPr="00EC34B1" w:rsidRDefault="00EC34B1" w:rsidP="00EC34B1">
      <w:pPr>
        <w:spacing w:line="480" w:lineRule="auto"/>
        <w:ind w:firstLine="720"/>
        <w:rPr>
          <w:rFonts w:eastAsia="Calibri"/>
        </w:rPr>
      </w:pPr>
      <w:r w:rsidRPr="00EC34B1">
        <w:rPr>
          <w:rFonts w:eastAsia="Calibri"/>
        </w:rPr>
        <w:t>With expectations in place, the TC is ready to teach his/her lesson.</w:t>
      </w:r>
      <w:r w:rsidR="004672BD">
        <w:rPr>
          <w:rFonts w:eastAsia="Calibri"/>
        </w:rPr>
        <w:t xml:space="preserve"> </w:t>
      </w:r>
      <w:r w:rsidRPr="00EC34B1">
        <w:rPr>
          <w:rFonts w:eastAsia="Calibri"/>
        </w:rPr>
        <w:t xml:space="preserve"> During the observation, the professor should strive to record everything he/she hears and sees. </w:t>
      </w:r>
      <w:r w:rsidR="004672BD">
        <w:rPr>
          <w:rFonts w:eastAsia="Calibri"/>
        </w:rPr>
        <w:t xml:space="preserve"> </w:t>
      </w:r>
      <w:r w:rsidRPr="00EC34B1">
        <w:rPr>
          <w:rFonts w:eastAsia="Calibri"/>
        </w:rPr>
        <w:t>Because the post-observation conference is not held immediately following the lesson, the TC is allowed time to reflect on his/her lesson using the provided questions.</w:t>
      </w:r>
      <w:r w:rsidR="004672BD">
        <w:rPr>
          <w:rFonts w:eastAsia="Calibri"/>
        </w:rPr>
        <w:t xml:space="preserve"> </w:t>
      </w:r>
      <w:r w:rsidRPr="00EC34B1">
        <w:rPr>
          <w:rFonts w:eastAsia="Calibri"/>
        </w:rPr>
        <w:t xml:space="preserve"> At the time of the post-observation conference, both the TC’s reflection and the professor’s observation comments are discussed.</w:t>
      </w:r>
      <w:r w:rsidR="004672BD">
        <w:rPr>
          <w:rFonts w:eastAsia="Calibri"/>
        </w:rPr>
        <w:t xml:space="preserve">  </w:t>
      </w:r>
      <w:r w:rsidRPr="00EC34B1">
        <w:rPr>
          <w:rFonts w:eastAsia="Calibri"/>
        </w:rPr>
        <w:t xml:space="preserve">It is important for the professor to model critical reflection when needed by directing feedback to the lesson observed, showing support for the TC by offering encouragement, and also setting clear expectations on next steps needing to be taken. </w:t>
      </w:r>
      <w:r w:rsidR="004672BD">
        <w:rPr>
          <w:rFonts w:eastAsia="Calibri"/>
        </w:rPr>
        <w:t xml:space="preserve"> </w:t>
      </w:r>
      <w:r w:rsidRPr="00EC34B1">
        <w:rPr>
          <w:rFonts w:eastAsia="Calibri"/>
        </w:rPr>
        <w:t>Once new expectations have been set in place, the professor needs to sporadically check-in with the TC to see if planned actions have been set into motion and follow-up as necessary.</w:t>
      </w:r>
    </w:p>
    <w:p w14:paraId="4A319E81" w14:textId="77777777" w:rsidR="00EC34B1" w:rsidRPr="00EC34B1" w:rsidRDefault="00EC34B1" w:rsidP="00EC34B1">
      <w:pPr>
        <w:spacing w:line="480" w:lineRule="auto"/>
        <w:ind w:firstLine="720"/>
        <w:rPr>
          <w:rFonts w:eastAsia="Calibri"/>
        </w:rPr>
      </w:pPr>
      <w:r w:rsidRPr="00EC34B1">
        <w:rPr>
          <w:rFonts w:eastAsia="Calibri"/>
        </w:rPr>
        <w:t xml:space="preserve">Conferencing with peers and professors was an important part of the learning and development process for TCs. </w:t>
      </w:r>
      <w:r w:rsidR="004672BD">
        <w:rPr>
          <w:rFonts w:eastAsia="Calibri"/>
        </w:rPr>
        <w:t xml:space="preserve"> </w:t>
      </w:r>
      <w:r w:rsidRPr="00EC34B1">
        <w:rPr>
          <w:rFonts w:eastAsia="Calibri"/>
        </w:rPr>
        <w:t xml:space="preserve">Without the use of them, professors would not be able to help the TC focus on priority needs, strengths, and concerns unique to him/her. </w:t>
      </w:r>
      <w:r w:rsidR="004672BD">
        <w:rPr>
          <w:rFonts w:eastAsia="Calibri"/>
        </w:rPr>
        <w:t xml:space="preserve"> </w:t>
      </w:r>
      <w:r w:rsidRPr="00EC34B1">
        <w:rPr>
          <w:rFonts w:eastAsia="Calibri"/>
        </w:rPr>
        <w:t>With the use of them, TCs more likely are able to bridge the gap between theory learned throughout semesters prior to field experience and the real-world practice observed and implemented.</w:t>
      </w:r>
    </w:p>
    <w:p w14:paraId="6C9A9F57" w14:textId="77777777" w:rsidR="00EC34B1" w:rsidRPr="00EC34B1" w:rsidRDefault="00EC34B1" w:rsidP="00EC34B1">
      <w:pPr>
        <w:spacing w:line="480" w:lineRule="auto"/>
        <w:jc w:val="center"/>
        <w:outlineLvl w:val="0"/>
        <w:rPr>
          <w:rFonts w:eastAsia="Calibri"/>
          <w:b/>
        </w:rPr>
      </w:pPr>
      <w:r w:rsidRPr="00EC34B1">
        <w:rPr>
          <w:rFonts w:eastAsia="Calibri"/>
          <w:b/>
        </w:rPr>
        <w:t>Setting Goals</w:t>
      </w:r>
    </w:p>
    <w:p w14:paraId="02DFBCB4" w14:textId="77777777" w:rsidR="00EC34B1" w:rsidRDefault="00EC34B1" w:rsidP="006A461B">
      <w:pPr>
        <w:spacing w:line="480" w:lineRule="auto"/>
        <w:ind w:firstLine="720"/>
        <w:rPr>
          <w:rFonts w:eastAsia="Calibri"/>
        </w:rPr>
      </w:pPr>
      <w:r w:rsidRPr="00EC34B1">
        <w:rPr>
          <w:rFonts w:eastAsia="Calibri"/>
        </w:rPr>
        <w:t xml:space="preserve">“If you don’t know where you’re going, you might not get there,” (Berra, 2001). </w:t>
      </w:r>
      <w:r w:rsidR="004672BD">
        <w:rPr>
          <w:rFonts w:eastAsia="Calibri"/>
        </w:rPr>
        <w:t xml:space="preserve"> </w:t>
      </w:r>
      <w:r w:rsidRPr="00EC34B1">
        <w:rPr>
          <w:rFonts w:eastAsia="Calibri"/>
        </w:rPr>
        <w:t xml:space="preserve">Though not spoken from an educator, the words hold true when TCs are required to set goals for their students. TCs must first determine the strengths and needs of their students before ever writing a lesson plan. </w:t>
      </w:r>
      <w:r w:rsidR="004672BD">
        <w:rPr>
          <w:rFonts w:eastAsia="Calibri"/>
        </w:rPr>
        <w:t xml:space="preserve"> </w:t>
      </w:r>
      <w:r w:rsidRPr="00EC34B1">
        <w:rPr>
          <w:rFonts w:eastAsia="Calibri"/>
        </w:rPr>
        <w:t>With assessments being an essential tool used to inform instruction (Wren, 2002), the TCs must become assessment literate by administering and analyzing appropriate leveled informal reading assessments.</w:t>
      </w:r>
      <w:r w:rsidR="004672BD">
        <w:rPr>
          <w:rFonts w:eastAsia="Calibri"/>
        </w:rPr>
        <w:t xml:space="preserve"> </w:t>
      </w:r>
      <w:r w:rsidRPr="00EC34B1">
        <w:rPr>
          <w:rFonts w:eastAsia="Calibri"/>
        </w:rPr>
        <w:t xml:space="preserve"> Once completed, the TC disaggregates data and records the targeted objectives; this becomes a reflective piece for the TCs because they are required to project each of their students’ outcomes in measurable terms and gauge their students’ mastery as a result of their teaching and interaction during the 17-week practicum.</w:t>
      </w:r>
      <w:r w:rsidR="004672BD">
        <w:rPr>
          <w:rFonts w:eastAsia="Calibri"/>
        </w:rPr>
        <w:t xml:space="preserve"> </w:t>
      </w:r>
      <w:r w:rsidRPr="00EC34B1">
        <w:rPr>
          <w:rFonts w:eastAsia="Calibri"/>
        </w:rPr>
        <w:t xml:space="preserve"> When the TCs have thoughtfully considered the direction, they need to go with instructing their students, it is then time for them to discuss their plans with their professor who provides additional guidance as necessary.</w:t>
      </w:r>
    </w:p>
    <w:p w14:paraId="5C56EEAD" w14:textId="77777777" w:rsidR="00EC34B1" w:rsidRPr="00EC34B1" w:rsidRDefault="00EC34B1" w:rsidP="00B755D4">
      <w:pPr>
        <w:spacing w:line="480" w:lineRule="auto"/>
        <w:ind w:firstLine="720"/>
        <w:rPr>
          <w:rFonts w:eastAsia="Calibri"/>
        </w:rPr>
      </w:pPr>
      <w:r w:rsidRPr="00EC34B1">
        <w:rPr>
          <w:rFonts w:eastAsia="Calibri"/>
          <w:color w:val="000000"/>
        </w:rPr>
        <w:t xml:space="preserve">TCs were required to establish long-term goals for their students after completing pre-assessments and again after completing post assessments, then established short-term goals when planning instruction for the week. </w:t>
      </w:r>
      <w:r w:rsidR="004672BD">
        <w:rPr>
          <w:rFonts w:eastAsia="Calibri"/>
          <w:color w:val="000000"/>
        </w:rPr>
        <w:t xml:space="preserve"> </w:t>
      </w:r>
      <w:r w:rsidRPr="00EC34B1">
        <w:rPr>
          <w:rFonts w:eastAsia="Calibri"/>
          <w:color w:val="000000"/>
        </w:rPr>
        <w:t>By setting goals for their students the TCs began to understand that setting goals for students was also a way to establish goals for the teacher</w:t>
      </w:r>
      <w:r w:rsidR="004672BD">
        <w:rPr>
          <w:rFonts w:eastAsia="Calibri"/>
          <w:color w:val="000000"/>
        </w:rPr>
        <w:t xml:space="preserve"> </w:t>
      </w:r>
      <w:r w:rsidRPr="00EC34B1">
        <w:rPr>
          <w:rFonts w:eastAsia="Calibri"/>
          <w:color w:val="000000"/>
        </w:rPr>
        <w:t>. As a result of this understanding, TCs shifted their practices and reflected more on the impact their actions, or lack thereof, had on the success of the students and their success as a teacher.</w:t>
      </w:r>
    </w:p>
    <w:p w14:paraId="0E0F3FEA" w14:textId="77777777" w:rsidR="00EC34B1" w:rsidRPr="00EC34B1" w:rsidRDefault="00EC34B1" w:rsidP="00EC34B1">
      <w:pPr>
        <w:spacing w:line="480" w:lineRule="auto"/>
        <w:jc w:val="center"/>
        <w:outlineLvl w:val="0"/>
        <w:rPr>
          <w:rFonts w:eastAsia="Calibri"/>
          <w:b/>
        </w:rPr>
      </w:pPr>
      <w:r w:rsidRPr="00EC34B1">
        <w:rPr>
          <w:rFonts w:eastAsia="Calibri"/>
          <w:b/>
        </w:rPr>
        <w:t>Mentor Teacher Observations</w:t>
      </w:r>
    </w:p>
    <w:p w14:paraId="7A13AF0C" w14:textId="77777777" w:rsidR="00EC34B1" w:rsidRPr="00EC34B1" w:rsidRDefault="00EC34B1" w:rsidP="009D21CC">
      <w:pPr>
        <w:spacing w:line="480" w:lineRule="auto"/>
        <w:ind w:firstLine="720"/>
        <w:rPr>
          <w:rFonts w:eastAsia="Calibri"/>
        </w:rPr>
      </w:pPr>
      <w:r w:rsidRPr="00EC34B1">
        <w:rPr>
          <w:rFonts w:eastAsia="Calibri"/>
        </w:rPr>
        <w:t>Often there is a disconnect between what the TC learns about theory and what they observe in the mentor teacher’s classroom.</w:t>
      </w:r>
      <w:r w:rsidR="004672BD">
        <w:rPr>
          <w:rFonts w:eastAsia="Calibri"/>
        </w:rPr>
        <w:t xml:space="preserve"> </w:t>
      </w:r>
      <w:r w:rsidRPr="00EC34B1">
        <w:rPr>
          <w:rFonts w:eastAsia="Calibri"/>
        </w:rPr>
        <w:t xml:space="preserve"> Due to this disconnect, professors must guide the TCs to focus on specific points for further discussion and understanding. </w:t>
      </w:r>
      <w:r w:rsidR="004672BD">
        <w:rPr>
          <w:rFonts w:eastAsia="Calibri"/>
        </w:rPr>
        <w:t xml:space="preserve"> </w:t>
      </w:r>
      <w:r w:rsidRPr="00EC34B1">
        <w:rPr>
          <w:rFonts w:eastAsia="Calibri"/>
        </w:rPr>
        <w:t xml:space="preserve">From the beginning of the field experience, TCs are encouraged to get acquainted with the learning environment their mentor teachers have established, reflecting on the aspects that affect the classroom environment including the arrangement of the classroom, structure of the daily and weekly schedule, and management/discipline plan. </w:t>
      </w:r>
      <w:r w:rsidR="004672BD">
        <w:rPr>
          <w:rFonts w:eastAsia="Calibri"/>
        </w:rPr>
        <w:t xml:space="preserve"> </w:t>
      </w:r>
      <w:r w:rsidRPr="00EC34B1">
        <w:rPr>
          <w:rFonts w:eastAsia="Calibri"/>
        </w:rPr>
        <w:t xml:space="preserve">The questions provide a basis for TCs to use when given the opportunity to further analyze and apply their personal opinions regarding what they observe from the classroom observations.  </w:t>
      </w:r>
    </w:p>
    <w:p w14:paraId="602F64A8" w14:textId="77777777" w:rsidR="00EC34B1" w:rsidRPr="00EC34B1" w:rsidRDefault="00EC34B1" w:rsidP="009D21CC">
      <w:pPr>
        <w:spacing w:line="480" w:lineRule="auto"/>
        <w:ind w:firstLine="720"/>
        <w:rPr>
          <w:rFonts w:eastAsia="Calibri"/>
        </w:rPr>
      </w:pPr>
      <w:r w:rsidRPr="00EC34B1">
        <w:rPr>
          <w:rFonts w:eastAsia="Calibri"/>
        </w:rPr>
        <w:t xml:space="preserve">Although TCs have the opportunity to plan for whole class instruction, the majority of their time during the field experience is centered around small-group instruction. </w:t>
      </w:r>
      <w:r w:rsidR="004672BD">
        <w:rPr>
          <w:rFonts w:eastAsia="Calibri"/>
        </w:rPr>
        <w:t xml:space="preserve"> </w:t>
      </w:r>
      <w:r w:rsidRPr="00EC34B1">
        <w:rPr>
          <w:rFonts w:eastAsia="Calibri"/>
        </w:rPr>
        <w:t>The TCs are asked to reflect on what they have observed from their mentor teacher’s practices for establishing a learning environment and in turn convey the optimal learning environment appropriate for their small-group instruction.</w:t>
      </w:r>
      <w:r w:rsidR="007B40EA">
        <w:rPr>
          <w:rFonts w:eastAsia="Calibri"/>
        </w:rPr>
        <w:t xml:space="preserve"> </w:t>
      </w:r>
      <w:r w:rsidRPr="00EC34B1">
        <w:rPr>
          <w:rFonts w:eastAsia="Calibri"/>
        </w:rPr>
        <w:t xml:space="preserve"> Prior to establishing a learning environment that is appropriate for small-group instruction, the TCs are asked to reflect upon the climate or culture of the classroom and what was learned from observing the mentor teacher and the students in the classroom.  Since this is the first extensive practicum, the opportunity to observe the classroom prior to reflecting on their opinion related to establishing a classroom environment is an important precursor to a critical reflection. </w:t>
      </w:r>
      <w:r w:rsidR="007B40EA">
        <w:rPr>
          <w:rFonts w:eastAsia="Calibri"/>
        </w:rPr>
        <w:t xml:space="preserve"> </w:t>
      </w:r>
      <w:r w:rsidRPr="00EC34B1">
        <w:rPr>
          <w:rFonts w:eastAsia="Calibri"/>
        </w:rPr>
        <w:t>TCs reflect informally and formally and the reflections from TCs demonstrate a growth of understanding that shifts from solely relying on theory to applying what is practiced.</w:t>
      </w:r>
      <w:r w:rsidR="007B40EA">
        <w:rPr>
          <w:rFonts w:eastAsia="Calibri"/>
        </w:rPr>
        <w:t xml:space="preserve"> </w:t>
      </w:r>
      <w:r w:rsidRPr="00EC34B1">
        <w:rPr>
          <w:rFonts w:eastAsia="Calibri"/>
        </w:rPr>
        <w:t xml:space="preserve"> Beginning reflections typically consist of a regurgitation of preferred theory or a lack of clarity for what is observed and how it will impact instruction. </w:t>
      </w:r>
      <w:r w:rsidR="007B40EA">
        <w:rPr>
          <w:rFonts w:eastAsia="Calibri"/>
        </w:rPr>
        <w:t xml:space="preserve"> </w:t>
      </w:r>
      <w:r w:rsidRPr="00EC34B1">
        <w:rPr>
          <w:rFonts w:eastAsia="Calibri"/>
        </w:rPr>
        <w:t>By the end of the semester, TCs’ reflections consist of a deeper understanding that merges what was learned in theory classes, observed in the mentor teacher’s classroom, and practiced by the TC.</w:t>
      </w:r>
    </w:p>
    <w:p w14:paraId="15356045" w14:textId="77777777" w:rsidR="00EC34B1" w:rsidRPr="00EC34B1" w:rsidRDefault="00EC34B1" w:rsidP="00EC34B1">
      <w:pPr>
        <w:spacing w:line="480" w:lineRule="auto"/>
        <w:jc w:val="center"/>
        <w:outlineLvl w:val="0"/>
        <w:rPr>
          <w:rFonts w:eastAsia="Calibri"/>
          <w:b/>
        </w:rPr>
      </w:pPr>
      <w:r w:rsidRPr="00EC34B1">
        <w:rPr>
          <w:rFonts w:eastAsia="Calibri"/>
          <w:b/>
        </w:rPr>
        <w:t>Planning and Implementation of Lessons</w:t>
      </w:r>
    </w:p>
    <w:p w14:paraId="3BBAE55F" w14:textId="77777777" w:rsidR="00EC34B1" w:rsidRPr="00EC34B1" w:rsidRDefault="00EC34B1" w:rsidP="00EC34B1">
      <w:pPr>
        <w:spacing w:line="480" w:lineRule="auto"/>
        <w:ind w:firstLine="720"/>
        <w:rPr>
          <w:rFonts w:eastAsia="Calibri"/>
          <w:color w:val="4472C4"/>
        </w:rPr>
      </w:pPr>
      <w:r w:rsidRPr="00EC34B1">
        <w:rPr>
          <w:rFonts w:eastAsia="Calibri"/>
        </w:rPr>
        <w:t>“It is imperative that those who are to become teachers learn to thoughtfully reflect upon their lessons and practices in order to maximize instructional effectiveness” (</w:t>
      </w:r>
      <w:proofErr w:type="spellStart"/>
      <w:r w:rsidRPr="00EC34B1">
        <w:rPr>
          <w:rFonts w:eastAsia="Calibri"/>
        </w:rPr>
        <w:t>Hrevnack</w:t>
      </w:r>
      <w:proofErr w:type="spellEnd"/>
      <w:r w:rsidRPr="00EC34B1">
        <w:rPr>
          <w:rFonts w:eastAsia="Calibri"/>
        </w:rPr>
        <w:t xml:space="preserve">, 2011, p.82). </w:t>
      </w:r>
      <w:r w:rsidR="007B40EA">
        <w:rPr>
          <w:rFonts w:eastAsia="Calibri"/>
        </w:rPr>
        <w:t xml:space="preserve"> </w:t>
      </w:r>
      <w:r w:rsidRPr="00EC34B1">
        <w:rPr>
          <w:rFonts w:eastAsia="Calibri"/>
          <w:color w:val="000000"/>
        </w:rPr>
        <w:t xml:space="preserve">The professors provided two opportunities to reflect on their lessons, the first occurring prior to implementing their lessons. </w:t>
      </w:r>
      <w:r w:rsidR="007B40EA">
        <w:rPr>
          <w:rFonts w:eastAsia="Calibri"/>
          <w:color w:val="000000"/>
        </w:rPr>
        <w:t xml:space="preserve"> </w:t>
      </w:r>
      <w:r w:rsidRPr="00EC34B1">
        <w:rPr>
          <w:rFonts w:eastAsia="Calibri"/>
          <w:color w:val="000000"/>
        </w:rPr>
        <w:t>Although, the professors used different approaches, the TCs were required to reflect on the planning of their lessons prior to submitting them for review by the professor. The lesson plan involved several components essential to preparing a lesson that provided scaffolding support before, during, and after reading a selected text. One professor provided questions for each component of the lesson plan in the form of a checklist for the TCs to use for each lesson plan.</w:t>
      </w:r>
      <w:r w:rsidR="007B40EA">
        <w:rPr>
          <w:rFonts w:eastAsia="Calibri"/>
          <w:color w:val="000000"/>
        </w:rPr>
        <w:t xml:space="preserve"> </w:t>
      </w:r>
      <w:r w:rsidRPr="00EC34B1">
        <w:rPr>
          <w:rFonts w:eastAsia="Calibri"/>
          <w:color w:val="000000"/>
        </w:rPr>
        <w:t xml:space="preserve"> During the first few weeks of planning lessons, the majority of the TCs considered the checklist an unnecessary option to use when planning their lessons. </w:t>
      </w:r>
      <w:r w:rsidR="007B40EA">
        <w:rPr>
          <w:rFonts w:eastAsia="Calibri"/>
          <w:color w:val="000000"/>
        </w:rPr>
        <w:t xml:space="preserve"> </w:t>
      </w:r>
      <w:r w:rsidRPr="00EC34B1">
        <w:rPr>
          <w:rFonts w:eastAsia="Calibri"/>
          <w:color w:val="000000"/>
        </w:rPr>
        <w:t xml:space="preserve">After conferencing with peers who used the checklist and conferencing with the professor who used the same questions when the TCs struggled with planning certain components of the plan, the TCs understood the importance of the reflective checklist of questions. </w:t>
      </w:r>
      <w:r w:rsidR="007B40EA">
        <w:rPr>
          <w:rFonts w:eastAsia="Calibri"/>
          <w:color w:val="000000"/>
        </w:rPr>
        <w:t xml:space="preserve"> </w:t>
      </w:r>
      <w:r w:rsidRPr="00EC34B1">
        <w:rPr>
          <w:rFonts w:eastAsia="Calibri"/>
          <w:color w:val="000000"/>
        </w:rPr>
        <w:t>As a result, the TCs began to see a difference in their ability to effectively plan a lesson that would make an impact on their students understanding of the different learning objectives.</w:t>
      </w:r>
    </w:p>
    <w:p w14:paraId="0BFE5118" w14:textId="77777777" w:rsidR="00EC34B1" w:rsidRPr="00EC34B1" w:rsidRDefault="00EC34B1" w:rsidP="00EC34B1">
      <w:pPr>
        <w:spacing w:line="480" w:lineRule="auto"/>
        <w:ind w:firstLine="720"/>
        <w:rPr>
          <w:rFonts w:eastAsia="Calibri"/>
        </w:rPr>
      </w:pPr>
      <w:r w:rsidRPr="00EC34B1">
        <w:rPr>
          <w:rFonts w:eastAsia="Calibri"/>
        </w:rPr>
        <w:t>The TCs were also asked to evaluate their three weekly lessons at the end of each instructional week and choose the one they felt did not go as well planned</w:t>
      </w:r>
      <w:r w:rsidR="007B40EA">
        <w:rPr>
          <w:rFonts w:eastAsia="Calibri"/>
        </w:rPr>
        <w:t xml:space="preserve"> </w:t>
      </w:r>
      <w:r w:rsidRPr="00EC34B1">
        <w:rPr>
          <w:rFonts w:eastAsia="Calibri"/>
        </w:rPr>
        <w:t xml:space="preserve">. To allow them the opportunity to determine whether their lesson was successful in teaching students the lesson objective, the TCs are required to describe the informal assessment and graph the students’ results. </w:t>
      </w:r>
      <w:r w:rsidR="007B40EA">
        <w:rPr>
          <w:rFonts w:eastAsia="Calibri"/>
        </w:rPr>
        <w:t xml:space="preserve"> </w:t>
      </w:r>
      <w:r w:rsidRPr="00EC34B1">
        <w:rPr>
          <w:rFonts w:eastAsia="Calibri"/>
        </w:rPr>
        <w:t xml:space="preserve">By doing so, they are not merely guessing whether or not their students were successful, but instead, using opinionated results and determining if the lesson’s objective needed to be retaught. </w:t>
      </w:r>
      <w:r w:rsidR="007B40EA">
        <w:rPr>
          <w:rFonts w:eastAsia="Calibri"/>
        </w:rPr>
        <w:t xml:space="preserve"> </w:t>
      </w:r>
      <w:r w:rsidRPr="00EC34B1">
        <w:rPr>
          <w:rFonts w:eastAsia="Calibri"/>
        </w:rPr>
        <w:t>The other part of the reflection included questions to help the TC think about their actions and the outcome of the implemented lesson.</w:t>
      </w:r>
      <w:r w:rsidR="007B40EA">
        <w:rPr>
          <w:rFonts w:eastAsia="Calibri"/>
        </w:rPr>
        <w:t xml:space="preserve"> </w:t>
      </w:r>
      <w:r w:rsidRPr="00EC34B1">
        <w:rPr>
          <w:rFonts w:eastAsia="Calibri"/>
        </w:rPr>
        <w:t xml:space="preserve"> When used effectively in a constructivist approach, critical reflection provides opportunities for teachers to take responsibility for their actions and use informed decision-making that positively affect student success and offer consistent responses to individual goals the TCs have established (</w:t>
      </w:r>
      <w:proofErr w:type="spellStart"/>
      <w:r w:rsidRPr="00EC34B1">
        <w:rPr>
          <w:rFonts w:eastAsia="Calibri"/>
        </w:rPr>
        <w:t>Labone</w:t>
      </w:r>
      <w:proofErr w:type="spellEnd"/>
      <w:r w:rsidRPr="00EC34B1">
        <w:rPr>
          <w:rFonts w:eastAsia="Calibri"/>
        </w:rPr>
        <w:t xml:space="preserve">, 2004). </w:t>
      </w:r>
      <w:r w:rsidR="007B40EA">
        <w:rPr>
          <w:rFonts w:eastAsia="Calibri"/>
        </w:rPr>
        <w:t xml:space="preserve"> </w:t>
      </w:r>
      <w:r w:rsidRPr="00EC34B1">
        <w:rPr>
          <w:rFonts w:eastAsia="Calibri"/>
        </w:rPr>
        <w:t>Typically, the act of mentally reflecting will begin as soon as the lesson is over, if not sooner.</w:t>
      </w:r>
      <w:r w:rsidR="007B40EA">
        <w:rPr>
          <w:rFonts w:eastAsia="Calibri"/>
        </w:rPr>
        <w:t xml:space="preserve"> </w:t>
      </w:r>
      <w:r w:rsidRPr="00EC34B1">
        <w:rPr>
          <w:rFonts w:eastAsia="Calibri"/>
        </w:rPr>
        <w:t xml:space="preserve"> It is wise to not immediately draw conclusions, especially if it was not the best of lessons; lessons that do not go accordingly are inevitable. </w:t>
      </w:r>
      <w:r w:rsidR="007B40EA">
        <w:rPr>
          <w:rFonts w:eastAsia="Calibri"/>
        </w:rPr>
        <w:t xml:space="preserve"> </w:t>
      </w:r>
      <w:r w:rsidRPr="00EC34B1">
        <w:rPr>
          <w:rFonts w:eastAsia="Calibri"/>
        </w:rPr>
        <w:t xml:space="preserve">It is important to remind the TCs that reflecting on their mistakes will help them learn at a higher rate when they work through what did </w:t>
      </w:r>
      <w:r w:rsidRPr="00EC34B1">
        <w:rPr>
          <w:rFonts w:eastAsia="Calibri"/>
          <w:color w:val="000000"/>
        </w:rPr>
        <w:t xml:space="preserve">and did not </w:t>
      </w:r>
      <w:r w:rsidRPr="00EC34B1">
        <w:rPr>
          <w:rFonts w:eastAsia="Calibri"/>
        </w:rPr>
        <w:t>work well. The same can be true when reflecting on a lesson that had few to no mistakes. When TCs apply reflection, they should continually examine and evaluate their attitudes, practices, effectiveness, and accomplishments rather than relying on the authority of others (</w:t>
      </w:r>
      <w:proofErr w:type="spellStart"/>
      <w:r w:rsidRPr="00EC34B1">
        <w:rPr>
          <w:rFonts w:eastAsia="Calibri"/>
        </w:rPr>
        <w:t>Shandomo</w:t>
      </w:r>
      <w:proofErr w:type="spellEnd"/>
      <w:r w:rsidRPr="00EC34B1">
        <w:rPr>
          <w:rFonts w:eastAsia="Calibri"/>
        </w:rPr>
        <w:t>, 2010).</w:t>
      </w:r>
    </w:p>
    <w:p w14:paraId="3679C88E" w14:textId="77777777" w:rsidR="00EC34B1" w:rsidRPr="00EC34B1" w:rsidRDefault="00EC34B1" w:rsidP="00EC34B1">
      <w:pPr>
        <w:spacing w:line="480" w:lineRule="auto"/>
        <w:ind w:firstLine="720"/>
        <w:rPr>
          <w:rFonts w:eastAsia="Calibri"/>
          <w:color w:val="7030A0"/>
        </w:rPr>
      </w:pPr>
      <w:r w:rsidRPr="00EC34B1">
        <w:rPr>
          <w:rFonts w:eastAsia="Calibri"/>
          <w:color w:val="000000"/>
        </w:rPr>
        <w:t xml:space="preserve">Out of all the methods used throughout the semester that required the TCs to reflect, the lesson plan reflections had the greatest impact on the TCs’ critical thinking. </w:t>
      </w:r>
      <w:r w:rsidR="00AB1401">
        <w:rPr>
          <w:rFonts w:eastAsia="Calibri"/>
          <w:color w:val="000000"/>
        </w:rPr>
        <w:t xml:space="preserve"> </w:t>
      </w:r>
      <w:r w:rsidRPr="00EC34B1">
        <w:rPr>
          <w:rFonts w:eastAsia="Calibri"/>
          <w:color w:val="000000"/>
        </w:rPr>
        <w:t xml:space="preserve">Although TCs had opportunities to prepare lesson plans in prior courses, the practicum was the first time the TCs applied the lessons and discovered the impact their planning, or lack thereof, had on the success of their students. </w:t>
      </w:r>
      <w:r w:rsidR="00AB1401">
        <w:rPr>
          <w:rFonts w:eastAsia="Calibri"/>
          <w:color w:val="000000"/>
        </w:rPr>
        <w:t xml:space="preserve"> </w:t>
      </w:r>
      <w:r w:rsidRPr="00EC34B1">
        <w:rPr>
          <w:rFonts w:eastAsia="Calibri"/>
          <w:color w:val="000000"/>
        </w:rPr>
        <w:t xml:space="preserve">They also learned the importance of building on what worked and did not work with prior lessons and the developing needs of their students to better prepare for future instruction. </w:t>
      </w:r>
      <w:r w:rsidR="00AB1401">
        <w:rPr>
          <w:rFonts w:eastAsia="Calibri"/>
          <w:color w:val="000000"/>
        </w:rPr>
        <w:t xml:space="preserve"> </w:t>
      </w:r>
      <w:r w:rsidRPr="00EC34B1">
        <w:rPr>
          <w:rFonts w:eastAsia="Calibri"/>
          <w:color w:val="000000"/>
        </w:rPr>
        <w:t>In addition, the TCs learned how to reflect on their ability to effectively teach the learning objective and the necessity of both prior and continued research on their part to become knowledgeable about the lesson topic or skill.</w:t>
      </w:r>
    </w:p>
    <w:p w14:paraId="790FCA52" w14:textId="77777777" w:rsidR="00EC34B1" w:rsidRPr="00EC34B1" w:rsidRDefault="00EC34B1" w:rsidP="00EC34B1">
      <w:pPr>
        <w:spacing w:line="480" w:lineRule="auto"/>
        <w:jc w:val="center"/>
        <w:outlineLvl w:val="0"/>
        <w:rPr>
          <w:rFonts w:eastAsia="Calibri"/>
          <w:b/>
        </w:rPr>
      </w:pPr>
      <w:r w:rsidRPr="00EC34B1">
        <w:rPr>
          <w:rFonts w:eastAsia="Calibri"/>
          <w:b/>
        </w:rPr>
        <w:t>Critical Reflection Research Paper</w:t>
      </w:r>
    </w:p>
    <w:p w14:paraId="6DD1AAB7" w14:textId="77777777" w:rsidR="00EC34B1" w:rsidRPr="00EC34B1" w:rsidRDefault="00EC34B1" w:rsidP="009D21CC">
      <w:pPr>
        <w:spacing w:line="480" w:lineRule="auto"/>
        <w:ind w:firstLine="720"/>
        <w:outlineLvl w:val="0"/>
        <w:rPr>
          <w:rFonts w:eastAsia="Calibri"/>
        </w:rPr>
      </w:pPr>
      <w:r w:rsidRPr="00EC34B1">
        <w:rPr>
          <w:rFonts w:eastAsia="Calibri"/>
        </w:rPr>
        <w:t xml:space="preserve">At the conclusion of the practicum, TCs completed a final paper that encompassed reflections completed throughout the semester along with additional opportunities to reflect on their overall experience. </w:t>
      </w:r>
      <w:r w:rsidR="00AB1401">
        <w:rPr>
          <w:rFonts w:eastAsia="Calibri"/>
        </w:rPr>
        <w:t xml:space="preserve"> </w:t>
      </w:r>
      <w:r w:rsidRPr="00EC34B1">
        <w:rPr>
          <w:rFonts w:eastAsia="Calibri"/>
        </w:rPr>
        <w:t xml:space="preserve">TCs were asked to use data collected from formal and informal assessments and observations, along with reflection completed throughout the semester, to reflect on the educational benefits for their students. </w:t>
      </w:r>
      <w:r w:rsidR="00AB1401">
        <w:rPr>
          <w:rFonts w:eastAsia="Calibri"/>
        </w:rPr>
        <w:t xml:space="preserve"> </w:t>
      </w:r>
      <w:r w:rsidRPr="00EC34B1">
        <w:rPr>
          <w:rFonts w:eastAsia="Calibri"/>
        </w:rPr>
        <w:t>In addition, TCs were asked to reflect on plans for further instruction for their students based on what they learned through their experiences and assessment results.</w:t>
      </w:r>
      <w:r w:rsidR="00AB1401">
        <w:rPr>
          <w:rFonts w:eastAsia="Calibri"/>
        </w:rPr>
        <w:t xml:space="preserve"> </w:t>
      </w:r>
      <w:r w:rsidRPr="00EC34B1">
        <w:rPr>
          <w:rFonts w:eastAsia="Calibri"/>
        </w:rPr>
        <w:t xml:space="preserve"> Finally, TCs wrote a reflection focused on his/her professional growth during the field experience, addressing their understanding of the process for teaching and monitoring student progress, the personal impact of the field experience, and areas of need for professional growth based on their experiences. </w:t>
      </w:r>
      <w:r w:rsidR="00AB1401">
        <w:rPr>
          <w:rFonts w:eastAsia="Calibri"/>
        </w:rPr>
        <w:t xml:space="preserve"> </w:t>
      </w:r>
      <w:r w:rsidRPr="00EC34B1">
        <w:rPr>
          <w:rFonts w:eastAsia="Calibri"/>
        </w:rPr>
        <w:t>Some provided an analysis of the field experience within these additional required sections that were indicative of a professional who can reflect on events and the impact of those experiences.</w:t>
      </w:r>
    </w:p>
    <w:p w14:paraId="1F8F234C" w14:textId="77777777" w:rsidR="00EC34B1" w:rsidRPr="00EC34B1" w:rsidRDefault="00EC34B1" w:rsidP="0065445E">
      <w:pPr>
        <w:jc w:val="center"/>
        <w:outlineLvl w:val="0"/>
        <w:rPr>
          <w:rFonts w:eastAsia="Calibri"/>
          <w:b/>
        </w:rPr>
      </w:pPr>
      <w:r w:rsidRPr="00EC34B1">
        <w:rPr>
          <w:rFonts w:eastAsia="Calibri"/>
          <w:b/>
        </w:rPr>
        <w:t>Professors Final Reflection</w:t>
      </w:r>
    </w:p>
    <w:p w14:paraId="5149D4FA" w14:textId="77777777" w:rsidR="00EC34B1" w:rsidRPr="00EC34B1" w:rsidRDefault="00EC34B1" w:rsidP="0065445E">
      <w:pPr>
        <w:jc w:val="center"/>
        <w:rPr>
          <w:rFonts w:eastAsia="Calibri"/>
        </w:rPr>
      </w:pPr>
    </w:p>
    <w:p w14:paraId="187C67C5" w14:textId="77777777" w:rsidR="00EC34B1" w:rsidRPr="00EC34B1" w:rsidRDefault="00EC34B1" w:rsidP="0065445E">
      <w:pPr>
        <w:outlineLvl w:val="0"/>
        <w:rPr>
          <w:rFonts w:eastAsia="Calibri"/>
          <w:i/>
        </w:rPr>
      </w:pPr>
      <w:r w:rsidRPr="00EC34B1">
        <w:rPr>
          <w:rFonts w:eastAsia="Calibri"/>
          <w:i/>
        </w:rPr>
        <w:t>Professor Reily</w:t>
      </w:r>
    </w:p>
    <w:p w14:paraId="77A5A816" w14:textId="77777777" w:rsidR="00EC34B1" w:rsidRPr="00EC34B1" w:rsidRDefault="00EC34B1" w:rsidP="00EC34B1">
      <w:pPr>
        <w:rPr>
          <w:rFonts w:eastAsia="Calibri"/>
        </w:rPr>
      </w:pPr>
    </w:p>
    <w:p w14:paraId="292E44B0" w14:textId="77777777" w:rsidR="00EC34B1" w:rsidRPr="00EC34B1" w:rsidRDefault="00EC34B1" w:rsidP="00EC34B1">
      <w:pPr>
        <w:spacing w:line="480" w:lineRule="auto"/>
        <w:rPr>
          <w:rFonts w:eastAsia="Calibri"/>
        </w:rPr>
      </w:pPr>
      <w:r w:rsidRPr="00EC34B1">
        <w:rPr>
          <w:rFonts w:eastAsia="Calibri"/>
        </w:rPr>
        <w:tab/>
        <w:t>During my fourth semester working with TCs in their first extensive practicum, I shifted my approach when it came time to guiding my students through the process of self-reflection.</w:t>
      </w:r>
      <w:r w:rsidR="00493DE5">
        <w:rPr>
          <w:rFonts w:eastAsia="Calibri"/>
        </w:rPr>
        <w:t xml:space="preserve"> </w:t>
      </w:r>
      <w:r w:rsidRPr="00EC34B1">
        <w:rPr>
          <w:rFonts w:eastAsia="Calibri"/>
        </w:rPr>
        <w:t xml:space="preserve"> I have found that the TCs have become reliant on expressing what they have been told is best practices without understanding the impact those best practices have for their current and future instruction. </w:t>
      </w:r>
      <w:r w:rsidR="00493DE5">
        <w:rPr>
          <w:rFonts w:eastAsia="Calibri"/>
        </w:rPr>
        <w:t xml:space="preserve"> </w:t>
      </w:r>
      <w:r w:rsidRPr="00EC34B1">
        <w:rPr>
          <w:rFonts w:eastAsia="Calibri"/>
        </w:rPr>
        <w:t xml:space="preserve">Most of the TCs are so concerned about doing everything correctly, that they prefer to be told what works rather than interject their own theories about their experiences. </w:t>
      </w:r>
      <w:r w:rsidR="00493DE5">
        <w:rPr>
          <w:rFonts w:eastAsia="Calibri"/>
        </w:rPr>
        <w:t xml:space="preserve"> </w:t>
      </w:r>
      <w:r w:rsidRPr="00EC34B1">
        <w:rPr>
          <w:rFonts w:eastAsia="Calibri"/>
        </w:rPr>
        <w:t>In order to help the TC, begin to take a chance on expressing their own thoughts, I had to find a balance between the amount of support I provided with the amount of independent reflection required of the TCs.</w:t>
      </w:r>
      <w:r w:rsidR="00493DE5">
        <w:rPr>
          <w:rFonts w:eastAsia="Calibri"/>
        </w:rPr>
        <w:t xml:space="preserve"> </w:t>
      </w:r>
      <w:r w:rsidRPr="00EC34B1">
        <w:rPr>
          <w:rFonts w:eastAsia="Calibri"/>
        </w:rPr>
        <w:t xml:space="preserve"> Some of the assignments that required reflection were new experiences and required more of a guided approach to help the TCs reflect rather than produce a reflection that was simply a step-by-step account of the events that took place. </w:t>
      </w:r>
      <w:r w:rsidR="00493DE5">
        <w:rPr>
          <w:rFonts w:eastAsia="Calibri"/>
        </w:rPr>
        <w:t xml:space="preserve"> </w:t>
      </w:r>
      <w:r w:rsidRPr="00EC34B1">
        <w:rPr>
          <w:rFonts w:eastAsia="Calibri"/>
        </w:rPr>
        <w:t xml:space="preserve">My approach made some TCs uncomfortable and not all of them reached the level of critical reflection. </w:t>
      </w:r>
      <w:r w:rsidR="00493DE5">
        <w:rPr>
          <w:rFonts w:eastAsia="Calibri"/>
        </w:rPr>
        <w:t xml:space="preserve"> </w:t>
      </w:r>
      <w:r w:rsidRPr="00EC34B1">
        <w:rPr>
          <w:rFonts w:eastAsia="Calibri"/>
        </w:rPr>
        <w:t xml:space="preserve">Although I saw each candidate grow as a professional who could reflect on their actions and the actions of others, I did not see the growth from all of the candidates I would have hoped for them to achieve during the semester. </w:t>
      </w:r>
      <w:r w:rsidR="00493DE5">
        <w:rPr>
          <w:rFonts w:eastAsia="Calibri"/>
        </w:rPr>
        <w:t xml:space="preserve"> </w:t>
      </w:r>
      <w:r w:rsidRPr="00EC34B1">
        <w:rPr>
          <w:rFonts w:eastAsia="Calibri"/>
        </w:rPr>
        <w:t xml:space="preserve">By allowing, and in some cases forcing, TCs to think for themselves and reflect in a way that will help them grow as teachers, I know that I have established at the very least an understanding for the purpose reflections play in their role as a teacher. </w:t>
      </w:r>
      <w:r w:rsidR="00975699">
        <w:rPr>
          <w:rFonts w:eastAsia="Calibri"/>
        </w:rPr>
        <w:t xml:space="preserve"> </w:t>
      </w:r>
      <w:r w:rsidRPr="00EC34B1">
        <w:rPr>
          <w:rFonts w:eastAsia="Calibri"/>
        </w:rPr>
        <w:t>I have discovered that an individual who is reflective, as is the case with other character traits, is dependent on the individual and the time and effort devoted to developing that character trait.</w:t>
      </w:r>
      <w:r w:rsidR="00975699">
        <w:rPr>
          <w:rFonts w:eastAsia="Calibri"/>
        </w:rPr>
        <w:t xml:space="preserve"> </w:t>
      </w:r>
      <w:r w:rsidRPr="00EC34B1">
        <w:rPr>
          <w:rFonts w:eastAsia="Calibri"/>
        </w:rPr>
        <w:t xml:space="preserve"> I may value and continuously practice critical reflection within my own practices, but that does not mean that others do. </w:t>
      </w:r>
      <w:r w:rsidR="00975699">
        <w:rPr>
          <w:rFonts w:eastAsia="Calibri"/>
        </w:rPr>
        <w:t xml:space="preserve"> </w:t>
      </w:r>
      <w:r w:rsidRPr="00EC34B1">
        <w:rPr>
          <w:rFonts w:eastAsia="Calibri"/>
        </w:rPr>
        <w:t xml:space="preserve">Critical reflection will continue to play a major role in practicums, but I move forward with a better understanding that developing the reflective teacher is not a skill that can be taught but rather a process that must be nurtured.  </w:t>
      </w:r>
    </w:p>
    <w:p w14:paraId="6F0DCE9B" w14:textId="77777777" w:rsidR="00EC34B1" w:rsidRPr="00EC34B1" w:rsidRDefault="00EC34B1" w:rsidP="00EC34B1">
      <w:pPr>
        <w:spacing w:line="480" w:lineRule="auto"/>
        <w:outlineLvl w:val="0"/>
        <w:rPr>
          <w:rFonts w:eastAsia="Calibri"/>
          <w:i/>
        </w:rPr>
      </w:pPr>
      <w:r w:rsidRPr="00EC34B1">
        <w:rPr>
          <w:rFonts w:eastAsia="Calibri"/>
          <w:i/>
        </w:rPr>
        <w:t>Professor Vaughn</w:t>
      </w:r>
    </w:p>
    <w:p w14:paraId="7FBBF2C3" w14:textId="77777777" w:rsidR="00EC34B1" w:rsidRPr="00EC34B1" w:rsidRDefault="00EC34B1" w:rsidP="00EC34B1">
      <w:pPr>
        <w:spacing w:line="480" w:lineRule="auto"/>
        <w:rPr>
          <w:rFonts w:eastAsia="Calibri"/>
        </w:rPr>
        <w:sectPr w:rsidR="00EC34B1" w:rsidRPr="00EC34B1" w:rsidSect="00175A45">
          <w:headerReference w:type="even" r:id="rId26"/>
          <w:headerReference w:type="default" r:id="rId27"/>
          <w:headerReference w:type="first" r:id="rId28"/>
          <w:pgSz w:w="12240" w:h="15840"/>
          <w:pgMar w:top="1440" w:right="1440" w:bottom="1440" w:left="1440" w:header="720" w:footer="720" w:gutter="0"/>
          <w:pgNumType w:start="1"/>
          <w:cols w:space="720"/>
          <w:titlePg/>
          <w:docGrid w:linePitch="360"/>
        </w:sectPr>
      </w:pPr>
      <w:r w:rsidRPr="00EC34B1">
        <w:rPr>
          <w:rFonts w:eastAsia="Calibri"/>
        </w:rPr>
        <w:tab/>
        <w:t>My practicum preservice teachers are not the only ones who benefit from reflecting.</w:t>
      </w:r>
      <w:r w:rsidR="00975699">
        <w:rPr>
          <w:rFonts w:eastAsia="Calibri"/>
        </w:rPr>
        <w:t xml:space="preserve">  </w:t>
      </w:r>
      <w:r w:rsidRPr="00EC34B1">
        <w:rPr>
          <w:rFonts w:eastAsia="Calibri"/>
        </w:rPr>
        <w:t xml:space="preserve">As the professor, I have gained a great deal from this experience. Reading the TCs’ reflections provides me with an opportunity to evaluate my own teaching and to find out what worked and what did not work in class. </w:t>
      </w:r>
      <w:r w:rsidR="00975699">
        <w:rPr>
          <w:rFonts w:eastAsia="Calibri"/>
        </w:rPr>
        <w:t xml:space="preserve"> </w:t>
      </w:r>
      <w:r w:rsidRPr="00EC34B1">
        <w:rPr>
          <w:rFonts w:eastAsia="Calibri"/>
        </w:rPr>
        <w:t xml:space="preserve">Critical reflecting has enabled me to examine situations that surface in the TCs’ reflections, then be better able to give more personalized attention and direction where needed, and to pose questions to help them focus on relevant matters. </w:t>
      </w:r>
      <w:r w:rsidR="00975699">
        <w:rPr>
          <w:rFonts w:eastAsia="Calibri"/>
        </w:rPr>
        <w:t xml:space="preserve"> </w:t>
      </w:r>
      <w:r w:rsidRPr="00EC34B1">
        <w:rPr>
          <w:rFonts w:eastAsia="Calibri"/>
        </w:rPr>
        <w:t xml:space="preserve">These questions often became discussions we tackled during our weekly lab and what I found was this incidental teaching created a springboard for deeper reflecting. </w:t>
      </w:r>
      <w:r w:rsidR="00975699">
        <w:rPr>
          <w:rFonts w:eastAsia="Calibri"/>
        </w:rPr>
        <w:t xml:space="preserve"> </w:t>
      </w:r>
      <w:r w:rsidRPr="00EC34B1">
        <w:rPr>
          <w:rFonts w:eastAsia="Calibri"/>
        </w:rPr>
        <w:t xml:space="preserve">What began as longing to be a better professor, I have learned that critical-reflection is based on each experience with my students, colleagues, and my own personal teacher. </w:t>
      </w:r>
      <w:r w:rsidR="00975699">
        <w:rPr>
          <w:rFonts w:eastAsia="Calibri"/>
        </w:rPr>
        <w:t xml:space="preserve"> </w:t>
      </w:r>
      <w:r w:rsidRPr="00EC34B1">
        <w:rPr>
          <w:rFonts w:eastAsia="Calibri"/>
        </w:rPr>
        <w:t xml:space="preserve">As Nieto (1999) put it, “all good teaching is about transformation.” </w:t>
      </w:r>
      <w:r w:rsidR="00975699">
        <w:rPr>
          <w:rFonts w:eastAsia="Calibri"/>
        </w:rPr>
        <w:t xml:space="preserve"> </w:t>
      </w:r>
      <w:r w:rsidRPr="00EC34B1">
        <w:rPr>
          <w:rFonts w:eastAsia="Calibri"/>
        </w:rPr>
        <w:t>For me, it comes from letting go of being overly rigid and being willing to reflect on myself, realizing I have much to learn from my students</w:t>
      </w:r>
      <w:r w:rsidR="00034E7C">
        <w:rPr>
          <w:rFonts w:eastAsia="Calibri"/>
        </w:rPr>
        <w:t>.</w:t>
      </w:r>
    </w:p>
    <w:p w14:paraId="685D16C0" w14:textId="77777777" w:rsidR="00EC34B1" w:rsidRPr="00EC34B1" w:rsidRDefault="00EC34B1" w:rsidP="00EC34B1">
      <w:pPr>
        <w:jc w:val="center"/>
        <w:outlineLvl w:val="0"/>
        <w:rPr>
          <w:rFonts w:eastAsia="Calibri"/>
          <w:b/>
        </w:rPr>
      </w:pPr>
      <w:r w:rsidRPr="00EC34B1">
        <w:rPr>
          <w:rFonts w:eastAsia="Calibri"/>
          <w:b/>
        </w:rPr>
        <w:t>References</w:t>
      </w:r>
    </w:p>
    <w:p w14:paraId="563EC3F4" w14:textId="77777777" w:rsidR="00EC34B1" w:rsidRPr="00EC34B1" w:rsidRDefault="00EC34B1" w:rsidP="00EC34B1">
      <w:pPr>
        <w:jc w:val="center"/>
        <w:rPr>
          <w:rFonts w:eastAsia="Calibri"/>
          <w:b/>
        </w:rPr>
      </w:pPr>
    </w:p>
    <w:p w14:paraId="40F03950" w14:textId="77777777" w:rsidR="00EC34B1" w:rsidRDefault="00EC34B1" w:rsidP="00034E7C">
      <w:pPr>
        <w:shd w:val="clear" w:color="auto" w:fill="FFFFFF"/>
        <w:ind w:left="720" w:hanging="720"/>
        <w:rPr>
          <w:rFonts w:eastAsia="Calibri"/>
          <w:color w:val="0000FF"/>
          <w:u w:val="single"/>
        </w:rPr>
      </w:pPr>
      <w:proofErr w:type="spellStart"/>
      <w:r w:rsidRPr="00EC34B1">
        <w:rPr>
          <w:color w:val="000000"/>
        </w:rPr>
        <w:t>Bartel</w:t>
      </w:r>
      <w:proofErr w:type="spellEnd"/>
      <w:r w:rsidRPr="00EC34B1">
        <w:rPr>
          <w:color w:val="000000"/>
        </w:rPr>
        <w:t xml:space="preserve">, M. (2001). </w:t>
      </w:r>
      <w:r w:rsidRPr="00EC34B1">
        <w:rPr>
          <w:rFonts w:eastAsia="Calibri"/>
          <w:color w:val="000000"/>
        </w:rPr>
        <w:t xml:space="preserve">Eleven classroom creativity killers. An essay on Marvin </w:t>
      </w:r>
      <w:proofErr w:type="spellStart"/>
      <w:r w:rsidRPr="00EC34B1">
        <w:rPr>
          <w:rFonts w:eastAsia="Calibri"/>
          <w:color w:val="000000"/>
        </w:rPr>
        <w:t>Bartel's</w:t>
      </w:r>
      <w:proofErr w:type="spellEnd"/>
      <w:r w:rsidRPr="00EC34B1">
        <w:rPr>
          <w:rFonts w:eastAsia="Calibri"/>
          <w:color w:val="000000"/>
        </w:rPr>
        <w:t xml:space="preserve"> </w:t>
      </w:r>
      <w:r w:rsidRPr="00EC34B1">
        <w:rPr>
          <w:rFonts w:eastAsia="Calibri"/>
          <w:i/>
          <w:iCs/>
          <w:color w:val="000000"/>
        </w:rPr>
        <w:t>Art and Learning to Think and Feel</w:t>
      </w:r>
      <w:r w:rsidRPr="00EC34B1">
        <w:rPr>
          <w:rFonts w:eastAsia="Calibri"/>
          <w:color w:val="000000"/>
        </w:rPr>
        <w:t xml:space="preserve"> website. Retrieved from: </w:t>
      </w:r>
      <w:hyperlink r:id="rId29" w:history="1">
        <w:r w:rsidRPr="00EC34B1">
          <w:rPr>
            <w:rFonts w:eastAsia="Calibri"/>
            <w:color w:val="0000FF"/>
            <w:u w:val="single"/>
          </w:rPr>
          <w:t>http://www.goshen.edu/art/ed/creativitykillers.html</w:t>
        </w:r>
      </w:hyperlink>
    </w:p>
    <w:p w14:paraId="5AD38B73" w14:textId="77777777" w:rsidR="00034E7C" w:rsidRPr="00EC34B1" w:rsidRDefault="00034E7C" w:rsidP="00034E7C">
      <w:pPr>
        <w:shd w:val="clear" w:color="auto" w:fill="FFFFFF"/>
        <w:ind w:left="720" w:hanging="720"/>
        <w:rPr>
          <w:rFonts w:eastAsia="Calibri"/>
          <w:color w:val="000000"/>
        </w:rPr>
      </w:pPr>
    </w:p>
    <w:p w14:paraId="0099AF5F" w14:textId="77777777" w:rsidR="00EC34B1" w:rsidRDefault="00EC34B1" w:rsidP="00034E7C">
      <w:pPr>
        <w:shd w:val="clear" w:color="auto" w:fill="FFFFFF"/>
        <w:ind w:left="720" w:hanging="720"/>
        <w:rPr>
          <w:color w:val="0000FF"/>
          <w:u w:val="single"/>
        </w:rPr>
      </w:pPr>
      <w:proofErr w:type="spellStart"/>
      <w:r w:rsidRPr="00EC34B1">
        <w:rPr>
          <w:color w:val="000000"/>
        </w:rPr>
        <w:t>Bartel</w:t>
      </w:r>
      <w:proofErr w:type="spellEnd"/>
      <w:r w:rsidRPr="00EC34B1">
        <w:rPr>
          <w:color w:val="000000"/>
        </w:rPr>
        <w:t xml:space="preserve">, M. (2014). Teaching creatively. An essay on Marvin </w:t>
      </w:r>
      <w:proofErr w:type="spellStart"/>
      <w:r w:rsidRPr="00EC34B1">
        <w:rPr>
          <w:color w:val="000000"/>
        </w:rPr>
        <w:t>Bartel’s</w:t>
      </w:r>
      <w:proofErr w:type="spellEnd"/>
      <w:r w:rsidRPr="00EC34B1">
        <w:rPr>
          <w:color w:val="000000"/>
        </w:rPr>
        <w:t xml:space="preserve"> </w:t>
      </w:r>
      <w:r w:rsidRPr="00EC34B1">
        <w:rPr>
          <w:i/>
          <w:color w:val="000000"/>
        </w:rPr>
        <w:t xml:space="preserve">Art and Learning to Think and Feel </w:t>
      </w:r>
      <w:r w:rsidRPr="00EC34B1">
        <w:rPr>
          <w:color w:val="000000"/>
        </w:rPr>
        <w:t xml:space="preserve">website. Retrieved from: </w:t>
      </w:r>
      <w:hyperlink r:id="rId30" w:history="1">
        <w:r w:rsidRPr="00EC34B1">
          <w:rPr>
            <w:color w:val="0000FF"/>
            <w:u w:val="single"/>
          </w:rPr>
          <w:t>https://people.goshen.edu/~marvinpb/arted/tc.html</w:t>
        </w:r>
      </w:hyperlink>
    </w:p>
    <w:p w14:paraId="22E974E7" w14:textId="77777777" w:rsidR="00034E7C" w:rsidRPr="00EC34B1" w:rsidRDefault="00034E7C" w:rsidP="00034E7C">
      <w:pPr>
        <w:shd w:val="clear" w:color="auto" w:fill="FFFFFF"/>
        <w:ind w:left="720" w:hanging="720"/>
        <w:rPr>
          <w:color w:val="000000"/>
        </w:rPr>
      </w:pPr>
    </w:p>
    <w:p w14:paraId="71368DE5" w14:textId="77777777" w:rsidR="00EC34B1" w:rsidRDefault="00EC34B1" w:rsidP="00034E7C">
      <w:pPr>
        <w:ind w:left="720" w:hanging="720"/>
        <w:rPr>
          <w:rFonts w:eastAsia="Calibri"/>
        </w:rPr>
      </w:pPr>
      <w:r w:rsidRPr="00EC34B1">
        <w:rPr>
          <w:rFonts w:eastAsia="Calibri"/>
        </w:rPr>
        <w:t xml:space="preserve">Bates, A., Ramirez, L. and </w:t>
      </w:r>
      <w:proofErr w:type="spellStart"/>
      <w:r w:rsidRPr="00EC34B1">
        <w:rPr>
          <w:rFonts w:eastAsia="Calibri"/>
        </w:rPr>
        <w:t>Drits</w:t>
      </w:r>
      <w:proofErr w:type="spellEnd"/>
      <w:r w:rsidRPr="00EC34B1">
        <w:rPr>
          <w:rFonts w:eastAsia="Calibri"/>
        </w:rPr>
        <w:t>, D.  (2009).  Connecting university supervision and critical reflection:  Mentoring and modeling.  The Teacher Educator, 44, 90-112.</w:t>
      </w:r>
    </w:p>
    <w:p w14:paraId="54EE7693" w14:textId="77777777" w:rsidR="00034E7C" w:rsidRPr="00EC34B1" w:rsidRDefault="00034E7C" w:rsidP="00034E7C">
      <w:pPr>
        <w:ind w:left="720" w:hanging="720"/>
        <w:rPr>
          <w:rFonts w:eastAsia="Calibri"/>
        </w:rPr>
      </w:pPr>
    </w:p>
    <w:p w14:paraId="5B47C8AE" w14:textId="77777777" w:rsidR="00EC34B1" w:rsidRDefault="00EC34B1" w:rsidP="00034E7C">
      <w:pPr>
        <w:shd w:val="clear" w:color="auto" w:fill="FFFFFF"/>
        <w:ind w:left="720" w:hanging="720"/>
        <w:rPr>
          <w:color w:val="333333"/>
        </w:rPr>
      </w:pPr>
      <w:r w:rsidRPr="00EC34B1">
        <w:rPr>
          <w:color w:val="333333"/>
        </w:rPr>
        <w:t xml:space="preserve">Berra, L.P. (2001). </w:t>
      </w:r>
      <w:r w:rsidRPr="00EC34B1">
        <w:rPr>
          <w:i/>
          <w:color w:val="333333"/>
        </w:rPr>
        <w:t>When you come to a fork in the road, take it!; Inspiration and wisdom from one of baseball’s greatest heroes</w:t>
      </w:r>
      <w:r w:rsidRPr="00EC34B1">
        <w:rPr>
          <w:color w:val="333333"/>
        </w:rPr>
        <w:t>. New York, NY: Hyperion Publishing.</w:t>
      </w:r>
    </w:p>
    <w:p w14:paraId="6BEAAEE6" w14:textId="77777777" w:rsidR="00034E7C" w:rsidRPr="00EC34B1" w:rsidRDefault="00034E7C" w:rsidP="00034E7C">
      <w:pPr>
        <w:shd w:val="clear" w:color="auto" w:fill="FFFFFF"/>
        <w:ind w:left="720" w:hanging="720"/>
        <w:rPr>
          <w:color w:val="333333"/>
        </w:rPr>
      </w:pPr>
    </w:p>
    <w:p w14:paraId="254498C7" w14:textId="77777777" w:rsidR="00EC34B1" w:rsidRDefault="00EC34B1" w:rsidP="00034E7C">
      <w:pPr>
        <w:shd w:val="clear" w:color="auto" w:fill="FFFFFF"/>
        <w:ind w:left="720" w:hanging="720"/>
        <w:rPr>
          <w:color w:val="333333"/>
        </w:rPr>
      </w:pPr>
      <w:r w:rsidRPr="00EC34B1">
        <w:rPr>
          <w:color w:val="333333"/>
        </w:rPr>
        <w:t>Brookfield, S. (2006). The skillful teacher: On technique, trust and responsiveness in the classroom (2</w:t>
      </w:r>
      <w:r w:rsidRPr="00EC34B1">
        <w:rPr>
          <w:color w:val="333333"/>
          <w:vertAlign w:val="superscript"/>
        </w:rPr>
        <w:t>nd</w:t>
      </w:r>
      <w:r w:rsidRPr="00EC34B1">
        <w:rPr>
          <w:color w:val="333333"/>
        </w:rPr>
        <w:t xml:space="preserve"> ed.). San Francisco, CA: Wiley</w:t>
      </w:r>
    </w:p>
    <w:p w14:paraId="53A5E16F" w14:textId="77777777" w:rsidR="00034E7C" w:rsidRPr="00EC34B1" w:rsidRDefault="00034E7C" w:rsidP="00034E7C">
      <w:pPr>
        <w:shd w:val="clear" w:color="auto" w:fill="FFFFFF"/>
        <w:ind w:left="720" w:hanging="720"/>
        <w:rPr>
          <w:color w:val="333333"/>
        </w:rPr>
      </w:pPr>
    </w:p>
    <w:p w14:paraId="1DC642AE" w14:textId="77777777" w:rsidR="00EC34B1" w:rsidRDefault="00EC34B1" w:rsidP="00034E7C">
      <w:pPr>
        <w:ind w:left="720" w:hanging="720"/>
        <w:rPr>
          <w:rFonts w:eastAsia="Calibri"/>
        </w:rPr>
      </w:pPr>
      <w:proofErr w:type="spellStart"/>
      <w:r w:rsidRPr="00EC34B1">
        <w:rPr>
          <w:rFonts w:eastAsia="Calibri"/>
        </w:rPr>
        <w:t>Clará</w:t>
      </w:r>
      <w:proofErr w:type="spellEnd"/>
      <w:r w:rsidRPr="00EC34B1">
        <w:rPr>
          <w:rFonts w:eastAsia="Calibri"/>
        </w:rPr>
        <w:t>, M. (2015).  What is reflection?  Looking or clarity in an ambiguous notion.  Journal of Teacher Education. 66(3), 261-271.</w:t>
      </w:r>
    </w:p>
    <w:p w14:paraId="59F8E181" w14:textId="77777777" w:rsidR="00034E7C" w:rsidRPr="00EC34B1" w:rsidRDefault="00034E7C" w:rsidP="00034E7C">
      <w:pPr>
        <w:ind w:left="720" w:hanging="720"/>
        <w:rPr>
          <w:rFonts w:eastAsia="Calibri"/>
        </w:rPr>
      </w:pPr>
    </w:p>
    <w:p w14:paraId="3BEFF8F7" w14:textId="77777777" w:rsidR="00EC34B1" w:rsidRPr="00EC34B1" w:rsidRDefault="00EC34B1" w:rsidP="00034E7C">
      <w:pPr>
        <w:widowControl w:val="0"/>
        <w:autoSpaceDE w:val="0"/>
        <w:autoSpaceDN w:val="0"/>
        <w:adjustRightInd w:val="0"/>
        <w:spacing w:after="240"/>
        <w:ind w:left="720" w:hanging="720"/>
        <w:rPr>
          <w:rFonts w:eastAsia="Calibri"/>
        </w:rPr>
      </w:pPr>
      <w:r w:rsidRPr="00EC34B1">
        <w:rPr>
          <w:rFonts w:eastAsia="Calibri"/>
        </w:rPr>
        <w:t xml:space="preserve">Cochran-Smith, M. &amp; Lytle, S. (2009). </w:t>
      </w:r>
      <w:r w:rsidRPr="00EC34B1">
        <w:rPr>
          <w:rFonts w:eastAsia="Calibri"/>
          <w:i/>
          <w:iCs/>
        </w:rPr>
        <w:t>Inquiry as stance: Practitioner research for the next generation</w:t>
      </w:r>
      <w:r w:rsidRPr="00EC34B1">
        <w:rPr>
          <w:rFonts w:eastAsia="Calibri"/>
        </w:rPr>
        <w:t>. New York, NY: Teachers College Press.</w:t>
      </w:r>
    </w:p>
    <w:p w14:paraId="002EF32D" w14:textId="77777777" w:rsidR="00EC34B1" w:rsidRPr="00EC34B1" w:rsidRDefault="00EC34B1" w:rsidP="00034E7C">
      <w:pPr>
        <w:widowControl w:val="0"/>
        <w:autoSpaceDE w:val="0"/>
        <w:autoSpaceDN w:val="0"/>
        <w:adjustRightInd w:val="0"/>
        <w:spacing w:after="240"/>
        <w:ind w:left="720" w:hanging="720"/>
        <w:rPr>
          <w:rFonts w:eastAsia="Calibri"/>
        </w:rPr>
      </w:pPr>
      <w:r w:rsidRPr="00EC34B1">
        <w:rPr>
          <w:color w:val="333333"/>
        </w:rPr>
        <w:t>Dewey, J. (1933). How we think: A restatement of the relation of reflective thinking to the educative process. Boston: D.C.; Heath and Company.</w:t>
      </w:r>
    </w:p>
    <w:p w14:paraId="2433B7DA" w14:textId="77777777" w:rsidR="00EC34B1" w:rsidRPr="00EC34B1" w:rsidRDefault="00EC34B1" w:rsidP="00034E7C">
      <w:pPr>
        <w:widowControl w:val="0"/>
        <w:autoSpaceDE w:val="0"/>
        <w:autoSpaceDN w:val="0"/>
        <w:adjustRightInd w:val="0"/>
        <w:spacing w:after="240"/>
        <w:ind w:left="720" w:hanging="720"/>
        <w:rPr>
          <w:rFonts w:eastAsia="Calibri"/>
        </w:rPr>
      </w:pPr>
      <w:r w:rsidRPr="00EC34B1">
        <w:rPr>
          <w:rFonts w:eastAsia="Calibri"/>
        </w:rPr>
        <w:t xml:space="preserve">Henson, R. K. (2001a). Teacher self-efficacy: </w:t>
      </w:r>
      <w:r w:rsidRPr="00EC34B1">
        <w:rPr>
          <w:rFonts w:eastAsia="Calibri"/>
          <w:i/>
        </w:rPr>
        <w:t>Substantive implications and measurement dilemmas</w:t>
      </w:r>
      <w:r w:rsidRPr="00EC34B1">
        <w:rPr>
          <w:rFonts w:eastAsia="Calibri"/>
        </w:rPr>
        <w:t>. Paper presented at the annual meeting of the Educational Research Exchange, Texas A&amp;M University, College Station, Texas.</w:t>
      </w:r>
    </w:p>
    <w:p w14:paraId="6F20EA01" w14:textId="77777777" w:rsidR="00EC34B1" w:rsidRDefault="00EC34B1" w:rsidP="00034E7C">
      <w:pPr>
        <w:ind w:left="720" w:hanging="720"/>
        <w:rPr>
          <w:rFonts w:eastAsia="Calibri"/>
        </w:rPr>
      </w:pPr>
      <w:proofErr w:type="spellStart"/>
      <w:r w:rsidRPr="00EC34B1">
        <w:rPr>
          <w:rFonts w:eastAsia="Calibri"/>
        </w:rPr>
        <w:t>Hrevnack</w:t>
      </w:r>
      <w:proofErr w:type="spellEnd"/>
      <w:r w:rsidRPr="00EC34B1">
        <w:rPr>
          <w:rFonts w:eastAsia="Calibri"/>
        </w:rPr>
        <w:t>, J. (2011).  Guided development of reflective thinking in the observations of classroom teachers by pre-service candidates.  Academy of Educational Leadership Journal.</w:t>
      </w:r>
    </w:p>
    <w:p w14:paraId="5CBE1F59" w14:textId="77777777" w:rsidR="00034E7C" w:rsidRPr="00EC34B1" w:rsidRDefault="00034E7C" w:rsidP="00034E7C">
      <w:pPr>
        <w:ind w:left="720" w:hanging="720"/>
        <w:rPr>
          <w:rFonts w:eastAsia="Calibri"/>
        </w:rPr>
      </w:pPr>
    </w:p>
    <w:p w14:paraId="04C58442" w14:textId="77777777" w:rsidR="00EC34B1" w:rsidRPr="00EC34B1" w:rsidRDefault="00EC34B1" w:rsidP="00034E7C">
      <w:pPr>
        <w:widowControl w:val="0"/>
        <w:autoSpaceDE w:val="0"/>
        <w:autoSpaceDN w:val="0"/>
        <w:adjustRightInd w:val="0"/>
        <w:spacing w:after="240"/>
        <w:ind w:left="720" w:hanging="720"/>
        <w:rPr>
          <w:rFonts w:eastAsia="Calibri"/>
        </w:rPr>
      </w:pPr>
      <w:r w:rsidRPr="00EC34B1">
        <w:rPr>
          <w:rFonts w:eastAsia="Calibri"/>
        </w:rPr>
        <w:t xml:space="preserve">Jay, J. K., &amp; Johnson, K. L. (2002). Capturing complexity: A typology of reflective practice for teacher education. </w:t>
      </w:r>
      <w:r w:rsidRPr="00EC34B1">
        <w:rPr>
          <w:rFonts w:eastAsia="Calibri"/>
          <w:i/>
          <w:iCs/>
        </w:rPr>
        <w:t>Teaching and Teacher Education, 18</w:t>
      </w:r>
      <w:r w:rsidRPr="00EC34B1">
        <w:rPr>
          <w:rFonts w:eastAsia="Calibri"/>
        </w:rPr>
        <w:t>, 73-85.</w:t>
      </w:r>
    </w:p>
    <w:p w14:paraId="286F932C" w14:textId="77777777" w:rsidR="00EC34B1" w:rsidRPr="00EC34B1" w:rsidRDefault="00EC34B1" w:rsidP="00034E7C">
      <w:pPr>
        <w:widowControl w:val="0"/>
        <w:autoSpaceDE w:val="0"/>
        <w:autoSpaceDN w:val="0"/>
        <w:adjustRightInd w:val="0"/>
        <w:spacing w:after="240"/>
        <w:ind w:left="720" w:hanging="720"/>
        <w:rPr>
          <w:rFonts w:eastAsia="Calibri"/>
        </w:rPr>
      </w:pPr>
      <w:proofErr w:type="spellStart"/>
      <w:r w:rsidRPr="00EC34B1">
        <w:rPr>
          <w:rFonts w:eastAsia="Calibri"/>
        </w:rPr>
        <w:t>Labone</w:t>
      </w:r>
      <w:proofErr w:type="spellEnd"/>
      <w:r w:rsidRPr="00EC34B1">
        <w:rPr>
          <w:rFonts w:eastAsia="Calibri"/>
        </w:rPr>
        <w:t xml:space="preserve">, E. (2004). Teacher efficacy: Maturing the construct through research in alternative paradigms. </w:t>
      </w:r>
      <w:r w:rsidRPr="00EC34B1">
        <w:rPr>
          <w:rFonts w:eastAsia="Calibri"/>
          <w:i/>
        </w:rPr>
        <w:t>Teaching and Teacher Education, 20</w:t>
      </w:r>
      <w:r w:rsidRPr="00EC34B1">
        <w:rPr>
          <w:rFonts w:eastAsia="Calibri"/>
        </w:rPr>
        <w:t>(4), 341–359.</w:t>
      </w:r>
    </w:p>
    <w:p w14:paraId="5B6DC57E" w14:textId="77777777" w:rsidR="00EC34B1" w:rsidRPr="00EC34B1" w:rsidRDefault="00EC34B1" w:rsidP="00034E7C">
      <w:pPr>
        <w:widowControl w:val="0"/>
        <w:autoSpaceDE w:val="0"/>
        <w:autoSpaceDN w:val="0"/>
        <w:adjustRightInd w:val="0"/>
        <w:spacing w:after="240"/>
        <w:ind w:left="720" w:hanging="720"/>
        <w:rPr>
          <w:rFonts w:eastAsia="Calibri"/>
        </w:rPr>
      </w:pPr>
      <w:r w:rsidRPr="00EC34B1">
        <w:t>McAlpine, L., &amp; Weston, C. (2000). Reflection: Issues related to improving professors’ teaching and students’ learning. Instructional Science, 28(5), 363–385.</w:t>
      </w:r>
    </w:p>
    <w:p w14:paraId="1D3E49B1" w14:textId="77777777" w:rsidR="00EC34B1" w:rsidRPr="00EC34B1" w:rsidRDefault="00EC34B1" w:rsidP="00034E7C">
      <w:pPr>
        <w:widowControl w:val="0"/>
        <w:autoSpaceDE w:val="0"/>
        <w:autoSpaceDN w:val="0"/>
        <w:adjustRightInd w:val="0"/>
        <w:spacing w:after="240"/>
        <w:ind w:left="720" w:hanging="720"/>
        <w:rPr>
          <w:rFonts w:eastAsia="Calibri"/>
        </w:rPr>
      </w:pPr>
      <w:proofErr w:type="spellStart"/>
      <w:r w:rsidRPr="00EC34B1">
        <w:rPr>
          <w:rFonts w:eastAsia="Calibri"/>
        </w:rPr>
        <w:t>Mezirow</w:t>
      </w:r>
      <w:proofErr w:type="spellEnd"/>
      <w:r w:rsidRPr="00EC34B1">
        <w:rPr>
          <w:rFonts w:eastAsia="Calibri"/>
        </w:rPr>
        <w:t xml:space="preserve">, J. (2000). Learning to think like an adult: Core concepts of transformation theory. In J. </w:t>
      </w:r>
      <w:proofErr w:type="spellStart"/>
      <w:r w:rsidRPr="00EC34B1">
        <w:rPr>
          <w:rFonts w:eastAsia="Calibri"/>
        </w:rPr>
        <w:t>Mezirow</w:t>
      </w:r>
      <w:proofErr w:type="spellEnd"/>
      <w:r w:rsidRPr="00EC34B1">
        <w:rPr>
          <w:rFonts w:eastAsia="Calibri"/>
        </w:rPr>
        <w:t xml:space="preserve"> (Ed). </w:t>
      </w:r>
      <w:r w:rsidRPr="00EC34B1">
        <w:rPr>
          <w:rFonts w:eastAsia="Calibri"/>
          <w:i/>
          <w:iCs/>
        </w:rPr>
        <w:t xml:space="preserve">Learning as transformation: Critical perspectives on a theory in progress </w:t>
      </w:r>
      <w:r w:rsidRPr="00EC34B1">
        <w:rPr>
          <w:rFonts w:eastAsia="Calibri"/>
        </w:rPr>
        <w:t>(pp. 3-34). San Francisco, CA: Jossey Bass.</w:t>
      </w:r>
    </w:p>
    <w:p w14:paraId="799DD9BF" w14:textId="77777777" w:rsidR="00EC34B1" w:rsidRPr="00EC34B1" w:rsidRDefault="00EC34B1" w:rsidP="00034E7C">
      <w:pPr>
        <w:widowControl w:val="0"/>
        <w:autoSpaceDE w:val="0"/>
        <w:autoSpaceDN w:val="0"/>
        <w:adjustRightInd w:val="0"/>
        <w:spacing w:after="240"/>
        <w:ind w:left="720" w:hanging="720"/>
        <w:rPr>
          <w:rFonts w:eastAsia="Calibri"/>
        </w:rPr>
      </w:pPr>
      <w:r w:rsidRPr="00EC34B1">
        <w:rPr>
          <w:rFonts w:eastAsia="Calibri"/>
        </w:rPr>
        <w:t xml:space="preserve">Nieto, S. (1999). </w:t>
      </w:r>
      <w:r w:rsidRPr="00EC34B1">
        <w:rPr>
          <w:rFonts w:eastAsia="Calibri"/>
          <w:i/>
          <w:iCs/>
        </w:rPr>
        <w:t>The light in their eyes: Creating multicultural learning communities</w:t>
      </w:r>
      <w:r w:rsidRPr="00EC34B1">
        <w:rPr>
          <w:rFonts w:eastAsia="Calibri"/>
        </w:rPr>
        <w:t>. New York, NY: Teachers College Press.</w:t>
      </w:r>
    </w:p>
    <w:p w14:paraId="37B77B69" w14:textId="77777777" w:rsidR="00EC34B1" w:rsidRPr="00EC34B1" w:rsidRDefault="00EC34B1" w:rsidP="00034E7C">
      <w:pPr>
        <w:widowControl w:val="0"/>
        <w:autoSpaceDE w:val="0"/>
        <w:autoSpaceDN w:val="0"/>
        <w:adjustRightInd w:val="0"/>
        <w:spacing w:after="240"/>
        <w:ind w:left="720" w:hanging="720"/>
        <w:rPr>
          <w:rFonts w:eastAsia="Calibri"/>
        </w:rPr>
      </w:pPr>
      <w:r w:rsidRPr="00EC34B1">
        <w:rPr>
          <w:rFonts w:eastAsia="Calibri"/>
        </w:rPr>
        <w:t xml:space="preserve">Palmer, P. J. (1998). </w:t>
      </w:r>
      <w:r w:rsidRPr="00EC34B1">
        <w:rPr>
          <w:rFonts w:eastAsia="Calibri"/>
          <w:i/>
        </w:rPr>
        <w:t>The courage to teach: Exploring the inner landscapes of</w:t>
      </w:r>
      <w:r w:rsidRPr="00EC34B1">
        <w:rPr>
          <w:rFonts w:eastAsia="Calibri"/>
        </w:rPr>
        <w:t xml:space="preserve"> </w:t>
      </w:r>
      <w:r w:rsidRPr="00EC34B1">
        <w:rPr>
          <w:rFonts w:eastAsia="Calibri"/>
          <w:i/>
        </w:rPr>
        <w:t>a teacher's life</w:t>
      </w:r>
      <w:r w:rsidRPr="00EC34B1">
        <w:rPr>
          <w:rFonts w:eastAsia="Calibri"/>
        </w:rPr>
        <w:t>. San Francisco, CA: Jossey Bass.</w:t>
      </w:r>
    </w:p>
    <w:p w14:paraId="15062AE9" w14:textId="77777777" w:rsidR="00EC34B1" w:rsidRPr="00EC34B1" w:rsidRDefault="00EC34B1" w:rsidP="00034E7C">
      <w:pPr>
        <w:widowControl w:val="0"/>
        <w:autoSpaceDE w:val="0"/>
        <w:autoSpaceDN w:val="0"/>
        <w:adjustRightInd w:val="0"/>
        <w:spacing w:after="240"/>
        <w:ind w:left="720" w:hanging="720"/>
        <w:rPr>
          <w:rFonts w:eastAsia="Calibri"/>
        </w:rPr>
      </w:pPr>
      <w:r w:rsidRPr="00EC34B1">
        <w:rPr>
          <w:rFonts w:eastAsia="Calibri"/>
        </w:rPr>
        <w:t xml:space="preserve">Puchner, L. D., &amp; Taylor, A. R. (2006). Lesson study, collaboration and teacher efficacy: Stories from two school-based math lesson study groups. </w:t>
      </w:r>
      <w:r w:rsidRPr="00EC34B1">
        <w:rPr>
          <w:rFonts w:eastAsia="Calibri"/>
          <w:i/>
        </w:rPr>
        <w:t>Teaching and Teacher Education, 22</w:t>
      </w:r>
      <w:r w:rsidRPr="00EC34B1">
        <w:rPr>
          <w:rFonts w:eastAsia="Calibri"/>
        </w:rPr>
        <w:t>(7), 922–934.</w:t>
      </w:r>
    </w:p>
    <w:p w14:paraId="28A8F63A" w14:textId="77777777" w:rsidR="00EC34B1" w:rsidRDefault="00EC34B1" w:rsidP="00034E7C">
      <w:pPr>
        <w:ind w:left="720" w:hanging="720"/>
        <w:rPr>
          <w:rFonts w:eastAsia="Calibri"/>
        </w:rPr>
      </w:pPr>
      <w:proofErr w:type="spellStart"/>
      <w:r w:rsidRPr="00EC34B1">
        <w:rPr>
          <w:rFonts w:eastAsia="Calibri"/>
        </w:rPr>
        <w:t>Shandomo</w:t>
      </w:r>
      <w:proofErr w:type="spellEnd"/>
      <w:r w:rsidRPr="00EC34B1">
        <w:rPr>
          <w:rFonts w:eastAsia="Calibri"/>
        </w:rPr>
        <w:t xml:space="preserve">, H.M. (2010). </w:t>
      </w:r>
      <w:r w:rsidRPr="00EC34B1">
        <w:rPr>
          <w:rFonts w:eastAsia="Calibri"/>
          <w:i/>
        </w:rPr>
        <w:t>The role of critical reflection in teacher education</w:t>
      </w:r>
      <w:r w:rsidRPr="00EC34B1">
        <w:rPr>
          <w:rFonts w:eastAsia="Calibri"/>
        </w:rPr>
        <w:t>. School-University Partnerships, 4(1), 101-113.</w:t>
      </w:r>
    </w:p>
    <w:p w14:paraId="74FAD0C8" w14:textId="77777777" w:rsidR="00034E7C" w:rsidRPr="00EC34B1" w:rsidRDefault="00034E7C" w:rsidP="00034E7C">
      <w:pPr>
        <w:ind w:left="720" w:hanging="720"/>
        <w:rPr>
          <w:rFonts w:eastAsia="Calibri"/>
        </w:rPr>
      </w:pPr>
    </w:p>
    <w:p w14:paraId="55286DF5" w14:textId="77777777" w:rsidR="00EC34B1" w:rsidRDefault="00EC34B1" w:rsidP="00034E7C">
      <w:pPr>
        <w:ind w:left="720" w:hanging="720"/>
        <w:rPr>
          <w:rFonts w:eastAsia="Calibri"/>
        </w:rPr>
      </w:pPr>
      <w:proofErr w:type="spellStart"/>
      <w:r w:rsidRPr="00EC34B1">
        <w:rPr>
          <w:rFonts w:eastAsia="Calibri"/>
        </w:rPr>
        <w:t>Surbeck</w:t>
      </w:r>
      <w:proofErr w:type="spellEnd"/>
      <w:r w:rsidRPr="00EC34B1">
        <w:rPr>
          <w:rFonts w:eastAsia="Calibri"/>
        </w:rPr>
        <w:t>, E., Park, E., and Moyer, J. (1991). Assessing reflective responses in journals.  Educational Leadership 25-27</w:t>
      </w:r>
      <w:r w:rsidR="00034E7C">
        <w:rPr>
          <w:rFonts w:eastAsia="Calibri"/>
        </w:rPr>
        <w:t>.</w:t>
      </w:r>
    </w:p>
    <w:p w14:paraId="0B0F4006" w14:textId="77777777" w:rsidR="00034E7C" w:rsidRPr="00EC34B1" w:rsidRDefault="00034E7C" w:rsidP="00034E7C">
      <w:pPr>
        <w:ind w:left="720" w:hanging="720"/>
        <w:rPr>
          <w:rFonts w:eastAsia="Calibri"/>
        </w:rPr>
      </w:pPr>
    </w:p>
    <w:p w14:paraId="6317EEDC" w14:textId="77777777" w:rsidR="00EC34B1" w:rsidRDefault="00EC34B1" w:rsidP="00034E7C">
      <w:pPr>
        <w:ind w:left="720" w:hanging="720"/>
        <w:rPr>
          <w:rFonts w:eastAsia="Calibri"/>
        </w:rPr>
      </w:pPr>
      <w:r w:rsidRPr="00EC34B1">
        <w:rPr>
          <w:rFonts w:eastAsia="Calibri"/>
        </w:rPr>
        <w:t>Wegner, E. (1998). Communities of practice: Learning meaning and identity. New York, NY: Cambridge University Press.</w:t>
      </w:r>
    </w:p>
    <w:p w14:paraId="28334F1B" w14:textId="77777777" w:rsidR="00034E7C" w:rsidRPr="00EC34B1" w:rsidRDefault="00034E7C" w:rsidP="00034E7C">
      <w:pPr>
        <w:ind w:left="720" w:hanging="720"/>
        <w:rPr>
          <w:rFonts w:eastAsia="Calibri"/>
        </w:rPr>
      </w:pPr>
    </w:p>
    <w:p w14:paraId="536E88D6" w14:textId="77777777" w:rsidR="00EC34B1" w:rsidRPr="00EC34B1" w:rsidRDefault="00EC34B1" w:rsidP="00034E7C">
      <w:pPr>
        <w:widowControl w:val="0"/>
        <w:autoSpaceDE w:val="0"/>
        <w:autoSpaceDN w:val="0"/>
        <w:adjustRightInd w:val="0"/>
        <w:ind w:left="720" w:hanging="720"/>
        <w:rPr>
          <w:rFonts w:eastAsia="Calibri"/>
          <w:i/>
          <w:color w:val="1F1C1D"/>
        </w:rPr>
      </w:pPr>
      <w:r w:rsidRPr="00EC34B1">
        <w:rPr>
          <w:rFonts w:eastAsia="Calibri"/>
          <w:color w:val="1F1C1D"/>
        </w:rPr>
        <w:t xml:space="preserve">Wiggins, G (1998). </w:t>
      </w:r>
      <w:r w:rsidRPr="00EC34B1">
        <w:rPr>
          <w:rFonts w:eastAsia="Calibri"/>
          <w:i/>
          <w:color w:val="1F1C1D"/>
        </w:rPr>
        <w:t xml:space="preserve">Educative assessment: Designing assessments to inform and improve student </w:t>
      </w:r>
    </w:p>
    <w:p w14:paraId="52846543" w14:textId="77777777" w:rsidR="00EC34B1" w:rsidRDefault="00EC34B1" w:rsidP="00034E7C">
      <w:pPr>
        <w:widowControl w:val="0"/>
        <w:autoSpaceDE w:val="0"/>
        <w:autoSpaceDN w:val="0"/>
        <w:adjustRightInd w:val="0"/>
        <w:ind w:left="720"/>
        <w:rPr>
          <w:rFonts w:eastAsia="Calibri"/>
          <w:color w:val="1F1C1D"/>
        </w:rPr>
      </w:pPr>
      <w:r w:rsidRPr="00EC34B1">
        <w:rPr>
          <w:rFonts w:eastAsia="Calibri"/>
          <w:i/>
          <w:color w:val="1F1C1D"/>
        </w:rPr>
        <w:t xml:space="preserve">performance. </w:t>
      </w:r>
      <w:r w:rsidRPr="00EC34B1">
        <w:rPr>
          <w:rFonts w:eastAsia="Calibri"/>
          <w:color w:val="1F1C1D"/>
        </w:rPr>
        <w:t>San Francisco, CA: Jossey-Bass Publishers.</w:t>
      </w:r>
    </w:p>
    <w:p w14:paraId="3C2DAE48" w14:textId="77777777" w:rsidR="00034E7C" w:rsidRPr="00EC34B1" w:rsidRDefault="00034E7C" w:rsidP="00034E7C">
      <w:pPr>
        <w:widowControl w:val="0"/>
        <w:autoSpaceDE w:val="0"/>
        <w:autoSpaceDN w:val="0"/>
        <w:adjustRightInd w:val="0"/>
        <w:ind w:left="720"/>
        <w:rPr>
          <w:rFonts w:eastAsia="Calibri"/>
          <w:color w:val="1F1C1D"/>
        </w:rPr>
      </w:pPr>
    </w:p>
    <w:p w14:paraId="3F83CC0F" w14:textId="77777777" w:rsidR="00EC34B1" w:rsidRPr="00EC34B1" w:rsidRDefault="00EC34B1" w:rsidP="00034E7C">
      <w:pPr>
        <w:widowControl w:val="0"/>
        <w:autoSpaceDE w:val="0"/>
        <w:autoSpaceDN w:val="0"/>
        <w:adjustRightInd w:val="0"/>
        <w:ind w:left="720" w:hanging="720"/>
        <w:rPr>
          <w:rFonts w:eastAsia="Calibri"/>
          <w:color w:val="1F1C1D"/>
        </w:rPr>
      </w:pPr>
      <w:r w:rsidRPr="00EC34B1">
        <w:rPr>
          <w:rFonts w:eastAsia="Calibri"/>
          <w:color w:val="1F1C1D"/>
        </w:rPr>
        <w:t>Wren, S. (2002).  Methods of assessing early reading development. Southwest Educational</w:t>
      </w:r>
    </w:p>
    <w:p w14:paraId="3E38355D" w14:textId="77777777" w:rsidR="00EC34B1" w:rsidRPr="00EC34B1" w:rsidRDefault="00EC34B1" w:rsidP="00034E7C">
      <w:pPr>
        <w:widowControl w:val="0"/>
        <w:autoSpaceDE w:val="0"/>
        <w:autoSpaceDN w:val="0"/>
        <w:adjustRightInd w:val="0"/>
        <w:ind w:left="720"/>
        <w:rPr>
          <w:rFonts w:eastAsia="Calibri"/>
          <w:color w:val="1F1C1D"/>
        </w:rPr>
      </w:pPr>
      <w:r w:rsidRPr="00EC34B1">
        <w:rPr>
          <w:rFonts w:eastAsia="Calibri"/>
          <w:color w:val="1F1C1D"/>
        </w:rPr>
        <w:t xml:space="preserve">Development Laboratory, Austin, TX. Retrieved from: </w:t>
      </w:r>
    </w:p>
    <w:p w14:paraId="0D64096E" w14:textId="77777777" w:rsidR="00EC34B1" w:rsidRDefault="009A60F0" w:rsidP="00034E7C">
      <w:pPr>
        <w:widowControl w:val="0"/>
        <w:autoSpaceDE w:val="0"/>
        <w:autoSpaceDN w:val="0"/>
        <w:adjustRightInd w:val="0"/>
        <w:ind w:left="720"/>
        <w:rPr>
          <w:rFonts w:eastAsia="Calibri"/>
          <w:color w:val="0000FF"/>
          <w:u w:val="single"/>
        </w:rPr>
      </w:pPr>
      <w:hyperlink r:id="rId31" w:history="1">
        <w:r w:rsidR="00EC34B1" w:rsidRPr="00EC34B1">
          <w:rPr>
            <w:rFonts w:eastAsia="Calibri"/>
            <w:color w:val="0000FF"/>
            <w:u w:val="single"/>
          </w:rPr>
          <w:t>http://www.wedl.org/reading/topics/assessment.html</w:t>
        </w:r>
      </w:hyperlink>
    </w:p>
    <w:p w14:paraId="51CA6FDE" w14:textId="77777777" w:rsidR="00034E7C" w:rsidRPr="00EC34B1" w:rsidRDefault="00034E7C" w:rsidP="00034E7C">
      <w:pPr>
        <w:widowControl w:val="0"/>
        <w:autoSpaceDE w:val="0"/>
        <w:autoSpaceDN w:val="0"/>
        <w:adjustRightInd w:val="0"/>
        <w:ind w:left="720"/>
        <w:rPr>
          <w:rFonts w:eastAsia="Calibri"/>
          <w:color w:val="1F1C1D"/>
        </w:rPr>
      </w:pPr>
    </w:p>
    <w:p w14:paraId="5E32663F" w14:textId="77777777" w:rsidR="00EC34B1" w:rsidRPr="00EC34B1" w:rsidRDefault="00EC34B1" w:rsidP="00034E7C">
      <w:pPr>
        <w:widowControl w:val="0"/>
        <w:autoSpaceDE w:val="0"/>
        <w:autoSpaceDN w:val="0"/>
        <w:adjustRightInd w:val="0"/>
        <w:spacing w:after="240"/>
        <w:ind w:left="720" w:hanging="720"/>
        <w:rPr>
          <w:rFonts w:eastAsia="Calibri"/>
        </w:rPr>
      </w:pPr>
      <w:r w:rsidRPr="00EC34B1">
        <w:rPr>
          <w:rFonts w:eastAsia="Calibri"/>
          <w:color w:val="1F1C1D"/>
        </w:rPr>
        <w:t xml:space="preserve">Yost, D.S., &amp; </w:t>
      </w:r>
      <w:proofErr w:type="spellStart"/>
      <w:r w:rsidRPr="00EC34B1">
        <w:rPr>
          <w:rFonts w:eastAsia="Calibri"/>
          <w:color w:val="1F1C1D"/>
        </w:rPr>
        <w:t>Forlenza</w:t>
      </w:r>
      <w:proofErr w:type="spellEnd"/>
      <w:r w:rsidRPr="00EC34B1">
        <w:rPr>
          <w:rFonts w:eastAsia="Calibri"/>
          <w:color w:val="1F1C1D"/>
        </w:rPr>
        <w:t xml:space="preserve">-Bailey, A.M. (2000). The impact of a fifth-year program on the leadership abilities of beginning teachers. </w:t>
      </w:r>
      <w:r w:rsidRPr="00EC34B1">
        <w:rPr>
          <w:rFonts w:eastAsia="Calibri"/>
          <w:i/>
          <w:iCs/>
          <w:color w:val="1F1C1D"/>
        </w:rPr>
        <w:t>The Professional Educator, 23</w:t>
      </w:r>
      <w:r w:rsidRPr="00EC34B1">
        <w:rPr>
          <w:rFonts w:eastAsia="Calibri"/>
          <w:color w:val="1F1C1D"/>
        </w:rPr>
        <w:t>(1), 35-47</w:t>
      </w:r>
      <w:r w:rsidR="008A4FB3">
        <w:rPr>
          <w:rFonts w:eastAsia="Calibri"/>
          <w:color w:val="1F1C1D"/>
        </w:rPr>
        <w:t>.</w:t>
      </w:r>
    </w:p>
    <w:p w14:paraId="4E896D7B" w14:textId="77777777" w:rsidR="00EC34B1" w:rsidRDefault="00EC34B1" w:rsidP="00034E7C">
      <w:pPr>
        <w:tabs>
          <w:tab w:val="left" w:pos="5870"/>
        </w:tabs>
        <w:ind w:left="720"/>
      </w:pPr>
    </w:p>
    <w:p w14:paraId="0939E56C" w14:textId="77777777" w:rsidR="00AC27C6" w:rsidRDefault="00AC27C6" w:rsidP="000F42BC">
      <w:pPr>
        <w:tabs>
          <w:tab w:val="left" w:pos="5870"/>
        </w:tabs>
        <w:ind w:left="720"/>
      </w:pPr>
    </w:p>
    <w:p w14:paraId="0D231CA1" w14:textId="77777777" w:rsidR="00AC27C6" w:rsidRDefault="00AC27C6" w:rsidP="000F42BC">
      <w:pPr>
        <w:tabs>
          <w:tab w:val="left" w:pos="5870"/>
        </w:tabs>
        <w:ind w:left="720"/>
      </w:pPr>
    </w:p>
    <w:p w14:paraId="170E0F67" w14:textId="77777777" w:rsidR="0065445E" w:rsidRDefault="0065445E" w:rsidP="000F42BC">
      <w:pPr>
        <w:tabs>
          <w:tab w:val="left" w:pos="5870"/>
        </w:tabs>
        <w:ind w:left="720"/>
      </w:pPr>
    </w:p>
    <w:p w14:paraId="11719DC4" w14:textId="77777777" w:rsidR="0065445E" w:rsidRDefault="0065445E" w:rsidP="000F42BC">
      <w:pPr>
        <w:tabs>
          <w:tab w:val="left" w:pos="5870"/>
        </w:tabs>
        <w:ind w:left="720"/>
      </w:pPr>
    </w:p>
    <w:p w14:paraId="4EBE1649" w14:textId="77777777" w:rsidR="0065445E" w:rsidRDefault="0065445E" w:rsidP="000F42BC">
      <w:pPr>
        <w:tabs>
          <w:tab w:val="left" w:pos="5870"/>
        </w:tabs>
        <w:ind w:left="720"/>
      </w:pPr>
    </w:p>
    <w:p w14:paraId="6D69BD31" w14:textId="77777777" w:rsidR="0065445E" w:rsidRDefault="0065445E" w:rsidP="000F42BC">
      <w:pPr>
        <w:tabs>
          <w:tab w:val="left" w:pos="5870"/>
        </w:tabs>
        <w:ind w:left="720"/>
      </w:pPr>
    </w:p>
    <w:p w14:paraId="0C8BF65E" w14:textId="77777777" w:rsidR="0065445E" w:rsidRDefault="0065445E" w:rsidP="000F42BC">
      <w:pPr>
        <w:tabs>
          <w:tab w:val="left" w:pos="5870"/>
        </w:tabs>
        <w:ind w:left="720"/>
      </w:pPr>
    </w:p>
    <w:p w14:paraId="70772779" w14:textId="77777777" w:rsidR="0065445E" w:rsidRDefault="0065445E" w:rsidP="000F42BC">
      <w:pPr>
        <w:tabs>
          <w:tab w:val="left" w:pos="5870"/>
        </w:tabs>
        <w:ind w:left="720"/>
      </w:pPr>
    </w:p>
    <w:tbl>
      <w:tblPr>
        <w:tblStyle w:val="TableGrid"/>
        <w:tblW w:w="0" w:type="auto"/>
        <w:tblInd w:w="720" w:type="dxa"/>
        <w:tblLook w:val="04A0" w:firstRow="1" w:lastRow="0" w:firstColumn="1" w:lastColumn="0" w:noHBand="0" w:noVBand="1"/>
      </w:tblPr>
      <w:tblGrid>
        <w:gridCol w:w="8630"/>
      </w:tblGrid>
      <w:tr w:rsidR="0065445E" w14:paraId="41BD6152" w14:textId="77777777" w:rsidTr="0065445E">
        <w:tc>
          <w:tcPr>
            <w:tcW w:w="9350" w:type="dxa"/>
          </w:tcPr>
          <w:p w14:paraId="2632370F" w14:textId="77777777" w:rsidR="0065445E" w:rsidRPr="0065445E" w:rsidRDefault="0065445E" w:rsidP="0065445E">
            <w:pPr>
              <w:tabs>
                <w:tab w:val="left" w:pos="5870"/>
              </w:tabs>
            </w:pPr>
            <w:r w:rsidRPr="0065445E">
              <w:rPr>
                <w:b/>
              </w:rPr>
              <w:t>Dr. Susan L. Reily</w:t>
            </w:r>
            <w:r w:rsidRPr="0065445E">
              <w:t xml:space="preserve"> is an Assistant Professor at Stephen F. Austin State University in Nacogdoches, Texas. In addition to teaching an upper-level writing methods course, she supervises teacher candidates’ first practicum experience in the area of literacy, and has been doing so for 5 years. </w:t>
            </w:r>
          </w:p>
          <w:p w14:paraId="6F76F5B7" w14:textId="77777777" w:rsidR="0065445E" w:rsidRDefault="0065445E" w:rsidP="000F42BC">
            <w:pPr>
              <w:tabs>
                <w:tab w:val="left" w:pos="5870"/>
              </w:tabs>
            </w:pPr>
            <w:r w:rsidRPr="0065445E">
              <w:rPr>
                <w:b/>
              </w:rPr>
              <w:t>Dr. Pamela Vaughn</w:t>
            </w:r>
            <w:r w:rsidRPr="0065445E">
              <w:t xml:space="preserve"> is an Assistant Professor at Stephen F. Austin State University in Nacogdoches, Texas. She is in her 9th year of teaching reading methods courses and supervising teacher candidates’ first practicum experience in the area of literacy. Dr. Vaughn's contact information is listed below.</w:t>
            </w:r>
          </w:p>
        </w:tc>
      </w:tr>
    </w:tbl>
    <w:p w14:paraId="194B59BD" w14:textId="77777777" w:rsidR="00A84253" w:rsidRDefault="00A84253" w:rsidP="00D97A00">
      <w:pPr>
        <w:spacing w:line="480" w:lineRule="auto"/>
        <w:contextualSpacing/>
        <w:jc w:val="center"/>
        <w:rPr>
          <w:b/>
          <w:lang w:bidi="en-US"/>
        </w:rPr>
      </w:pPr>
    </w:p>
    <w:p w14:paraId="7ABE5E0E" w14:textId="77777777" w:rsidR="00D97A00" w:rsidRPr="00D97A00" w:rsidRDefault="00D97A00" w:rsidP="00D97A00">
      <w:pPr>
        <w:spacing w:line="480" w:lineRule="auto"/>
        <w:contextualSpacing/>
        <w:jc w:val="center"/>
        <w:rPr>
          <w:b/>
          <w:szCs w:val="22"/>
          <w:lang w:bidi="en-US"/>
        </w:rPr>
      </w:pPr>
      <w:bookmarkStart w:id="12" w:name="_Hlk6425987"/>
      <w:r w:rsidRPr="00D97A00">
        <w:rPr>
          <w:b/>
          <w:szCs w:val="22"/>
          <w:lang w:bidi="en-US"/>
        </w:rPr>
        <w:t xml:space="preserve">Consistency in Student Teacher Evaluations: </w:t>
      </w:r>
    </w:p>
    <w:p w14:paraId="742B3A57" w14:textId="77777777" w:rsidR="00D97A00" w:rsidRDefault="00D97A00" w:rsidP="00D97A00">
      <w:pPr>
        <w:spacing w:line="480" w:lineRule="auto"/>
        <w:contextualSpacing/>
        <w:jc w:val="center"/>
        <w:rPr>
          <w:b/>
          <w:szCs w:val="22"/>
          <w:lang w:bidi="en-US"/>
        </w:rPr>
      </w:pPr>
      <w:r w:rsidRPr="00D97A00">
        <w:rPr>
          <w:b/>
          <w:szCs w:val="22"/>
          <w:lang w:bidi="en-US"/>
        </w:rPr>
        <w:t>A Comparison of Cooperating Teachers and Supervisors</w:t>
      </w:r>
    </w:p>
    <w:p w14:paraId="396A142A" w14:textId="77777777" w:rsidR="00D97A00" w:rsidRPr="00D97A00" w:rsidRDefault="00D97A00" w:rsidP="00D97A00">
      <w:pPr>
        <w:spacing w:after="160" w:line="480" w:lineRule="auto"/>
        <w:contextualSpacing/>
        <w:jc w:val="center"/>
        <w:rPr>
          <w:rFonts w:eastAsia="Calibri"/>
          <w:i/>
        </w:rPr>
      </w:pPr>
      <w:r w:rsidRPr="00D97A00">
        <w:rPr>
          <w:rFonts w:eastAsia="Calibri"/>
          <w:i/>
        </w:rPr>
        <w:t>Irene Frank and Mei Chang</w:t>
      </w:r>
    </w:p>
    <w:bookmarkEnd w:id="12"/>
    <w:p w14:paraId="35947323" w14:textId="77777777" w:rsidR="00D97A00" w:rsidRDefault="00D97A00" w:rsidP="00D97A00">
      <w:pPr>
        <w:spacing w:after="160" w:line="480" w:lineRule="auto"/>
        <w:contextualSpacing/>
        <w:jc w:val="center"/>
        <w:rPr>
          <w:rFonts w:eastAsia="Calibri"/>
          <w:i/>
        </w:rPr>
      </w:pPr>
      <w:r w:rsidRPr="00D97A00">
        <w:rPr>
          <w:rFonts w:eastAsia="Calibri"/>
          <w:i/>
        </w:rPr>
        <w:t>University of North Texas</w:t>
      </w:r>
    </w:p>
    <w:p w14:paraId="1B11E46D" w14:textId="77777777" w:rsidR="00541FAE" w:rsidRDefault="00541FAE" w:rsidP="00D97A00">
      <w:pPr>
        <w:spacing w:after="160" w:line="480" w:lineRule="auto"/>
        <w:contextualSpacing/>
        <w:jc w:val="center"/>
        <w:rPr>
          <w:rFonts w:eastAsia="Calibri"/>
          <w:i/>
        </w:rPr>
      </w:pPr>
    </w:p>
    <w:p w14:paraId="1874F3DB" w14:textId="77777777" w:rsidR="00541FAE" w:rsidRPr="00541FAE" w:rsidRDefault="00541FAE" w:rsidP="00541FAE">
      <w:pPr>
        <w:widowControl w:val="0"/>
        <w:spacing w:line="480" w:lineRule="auto"/>
        <w:contextualSpacing/>
        <w:jc w:val="center"/>
        <w:rPr>
          <w:rFonts w:eastAsia="Calibri"/>
          <w:b/>
        </w:rPr>
      </w:pPr>
      <w:r w:rsidRPr="00541FAE">
        <w:rPr>
          <w:rFonts w:eastAsia="Calibri"/>
          <w:b/>
          <w:caps/>
        </w:rPr>
        <w:t>a</w:t>
      </w:r>
      <w:r w:rsidRPr="00541FAE">
        <w:rPr>
          <w:rFonts w:eastAsia="Calibri"/>
          <w:b/>
        </w:rPr>
        <w:t>bstract</w:t>
      </w:r>
    </w:p>
    <w:p w14:paraId="59BBCC42" w14:textId="77777777" w:rsidR="00541FAE" w:rsidRPr="00541FAE" w:rsidRDefault="00541FAE" w:rsidP="00541FAE">
      <w:pPr>
        <w:widowControl w:val="0"/>
        <w:spacing w:line="480" w:lineRule="auto"/>
        <w:contextualSpacing/>
        <w:rPr>
          <w:rFonts w:eastAsia="Calibri"/>
        </w:rPr>
      </w:pPr>
      <w:r w:rsidRPr="00541FAE">
        <w:rPr>
          <w:rFonts w:eastAsia="Calibri"/>
        </w:rPr>
        <w:t xml:space="preserve">The aim of this study was to examine the consistency of cooperating teachers’ and supervisors’ ratings on student teacher evaluations and to determine if there were specific areas in which the cooperating teachers rated student teachers more highly than supervisors.  </w:t>
      </w:r>
      <w:bookmarkStart w:id="13" w:name="_Hlk8063759"/>
      <w:r w:rsidRPr="00541FAE">
        <w:rPr>
          <w:rFonts w:eastAsia="Calibri"/>
        </w:rPr>
        <w:t>Student teaching evaluations completed by both cooperating teachers and supervisors of 701 student teachers were examined</w:t>
      </w:r>
      <w:bookmarkEnd w:id="13"/>
      <w:r w:rsidRPr="00541FAE">
        <w:rPr>
          <w:rFonts w:eastAsia="Calibri"/>
        </w:rPr>
        <w:t>.  MANOVA analysis determined that cooperating teachers did rate student teachers differently than supervisors, and that the cooperating teachers’ scores were statistically significantly and practically higher in the areas of Lesson Assessment and Diversity.  Despite the group differences, both groups tended to give high scores in all categories.  The presence of group differences in these categories reinforces the need for greater collaboration and communication between cooperating teachers and educator preparation programs, whereas the prevalence of high scores in both groups reinforces the need for more objective student teacher evaluation processes.</w:t>
      </w:r>
    </w:p>
    <w:p w14:paraId="1497E68E" w14:textId="77777777" w:rsidR="00541FAE" w:rsidRPr="00D97A00" w:rsidRDefault="00541FAE" w:rsidP="00541FAE">
      <w:pPr>
        <w:spacing w:after="160" w:line="480" w:lineRule="auto"/>
        <w:contextualSpacing/>
        <w:jc w:val="center"/>
        <w:rPr>
          <w:rFonts w:eastAsia="Calibri"/>
        </w:rPr>
      </w:pPr>
      <w:r w:rsidRPr="00541FAE">
        <w:rPr>
          <w:rFonts w:eastAsia="Calibri"/>
          <w:b/>
        </w:rPr>
        <w:t>Key words:</w:t>
      </w:r>
      <w:r w:rsidRPr="00541FAE">
        <w:rPr>
          <w:rFonts w:eastAsia="Calibri"/>
        </w:rPr>
        <w:t xml:space="preserve"> Cooperating teachers, Supervisors, Student teacher evaluation, Teacher Education</w:t>
      </w:r>
    </w:p>
    <w:p w14:paraId="2274A29D" w14:textId="77777777" w:rsidR="00D97A00" w:rsidRDefault="00D97A00" w:rsidP="00D97A00">
      <w:pPr>
        <w:spacing w:line="480" w:lineRule="auto"/>
        <w:contextualSpacing/>
        <w:jc w:val="center"/>
        <w:rPr>
          <w:b/>
          <w:szCs w:val="22"/>
          <w:lang w:bidi="en-US"/>
        </w:rPr>
      </w:pPr>
    </w:p>
    <w:p w14:paraId="6F8F3062" w14:textId="77777777" w:rsidR="00541FAE" w:rsidRDefault="00541FAE" w:rsidP="00D97A00">
      <w:pPr>
        <w:spacing w:line="480" w:lineRule="auto"/>
        <w:contextualSpacing/>
        <w:jc w:val="center"/>
        <w:rPr>
          <w:b/>
          <w:szCs w:val="22"/>
          <w:lang w:bidi="en-US"/>
        </w:rPr>
      </w:pPr>
    </w:p>
    <w:p w14:paraId="63400727" w14:textId="77777777" w:rsidR="00541FAE" w:rsidRDefault="00541FAE" w:rsidP="00D97A00">
      <w:pPr>
        <w:spacing w:line="480" w:lineRule="auto"/>
        <w:contextualSpacing/>
        <w:jc w:val="center"/>
        <w:rPr>
          <w:b/>
          <w:szCs w:val="22"/>
          <w:lang w:bidi="en-US"/>
        </w:rPr>
      </w:pPr>
    </w:p>
    <w:p w14:paraId="2A5F3E35" w14:textId="77777777" w:rsidR="00541FAE" w:rsidRPr="00D97A00" w:rsidRDefault="00541FAE" w:rsidP="00D97A00">
      <w:pPr>
        <w:spacing w:line="480" w:lineRule="auto"/>
        <w:contextualSpacing/>
        <w:jc w:val="center"/>
        <w:rPr>
          <w:b/>
          <w:szCs w:val="22"/>
          <w:lang w:bidi="en-US"/>
        </w:rPr>
      </w:pPr>
    </w:p>
    <w:p w14:paraId="22E24555" w14:textId="77777777" w:rsidR="00D97A00" w:rsidRPr="00D97A00" w:rsidRDefault="00D97A00" w:rsidP="00D97A00">
      <w:pPr>
        <w:spacing w:line="480" w:lineRule="auto"/>
        <w:contextualSpacing/>
        <w:jc w:val="center"/>
        <w:rPr>
          <w:b/>
          <w:szCs w:val="22"/>
          <w:lang w:bidi="en-US"/>
        </w:rPr>
      </w:pPr>
      <w:r w:rsidRPr="00D97A00">
        <w:rPr>
          <w:b/>
          <w:szCs w:val="22"/>
          <w:lang w:bidi="en-US"/>
        </w:rPr>
        <w:t>Introduction</w:t>
      </w:r>
    </w:p>
    <w:p w14:paraId="5D8A8BB1" w14:textId="77777777" w:rsidR="00D97A00" w:rsidRPr="00D97A00" w:rsidRDefault="00D97A00" w:rsidP="00D97A00">
      <w:pPr>
        <w:spacing w:line="480" w:lineRule="auto"/>
        <w:contextualSpacing/>
        <w:rPr>
          <w:szCs w:val="22"/>
          <w:lang w:bidi="en-US"/>
        </w:rPr>
      </w:pPr>
      <w:r>
        <w:rPr>
          <w:szCs w:val="22"/>
          <w:lang w:bidi="en-US"/>
        </w:rPr>
        <w:tab/>
      </w:r>
      <w:r w:rsidRPr="00D97A00">
        <w:rPr>
          <w:szCs w:val="22"/>
          <w:lang w:bidi="en-US"/>
        </w:rPr>
        <w:t>As the members of the professional community who spend the most time with student teachers, cooperating teachers’ evaluation should be one of the primary indicators of teacher candidates’ preparedness to enter the field (</w:t>
      </w:r>
      <w:proofErr w:type="spellStart"/>
      <w:r w:rsidRPr="00D97A00">
        <w:rPr>
          <w:szCs w:val="22"/>
          <w:lang w:bidi="en-US"/>
        </w:rPr>
        <w:t>Brucklacher</w:t>
      </w:r>
      <w:proofErr w:type="spellEnd"/>
      <w:r w:rsidRPr="00D97A00">
        <w:rPr>
          <w:szCs w:val="22"/>
          <w:lang w:bidi="en-US"/>
        </w:rPr>
        <w:t>, 1998).  This position is supported by the Council for the Accreditation of Educator Preparation's (CAEP) standard for Clinical Partnership and Practice</w:t>
      </w:r>
      <w:r w:rsidRPr="00D97A00">
        <w:rPr>
          <w:b/>
          <w:szCs w:val="22"/>
          <w:lang w:bidi="en-US"/>
        </w:rPr>
        <w:t>,</w:t>
      </w:r>
      <w:r w:rsidRPr="00D97A00">
        <w:rPr>
          <w:szCs w:val="22"/>
          <w:lang w:bidi="en-US"/>
        </w:rPr>
        <w:t xml:space="preserve"> which emphasizes partnerships between educator preparation programs (EPPs) and P-12 schools in all aspects of clinical experiences, including the assessment of teacher candidates (CAEP, 2013, Standard 2).  This relatively new expectation raises the question - do current practices reflect a lack of agreement between EPPs and P-12 school partners?  To begin answering this question, this study investigated whether cooperating teachers tended to rate the performance of student teachers differently than did supervisors when using the same student teacher evaluation instrument.  If so, were there specific categories of the evaluation instrument on which cooperating teachers’ and supervisors’ ratings tended to differ?   </w:t>
      </w:r>
    </w:p>
    <w:p w14:paraId="271DFFE3" w14:textId="77777777" w:rsidR="00D97A00" w:rsidRPr="00D97A00" w:rsidRDefault="00D97A00" w:rsidP="00D97A00">
      <w:pPr>
        <w:spacing w:line="480" w:lineRule="auto"/>
        <w:contextualSpacing/>
        <w:jc w:val="center"/>
        <w:rPr>
          <w:b/>
          <w:szCs w:val="22"/>
          <w:lang w:bidi="en-US"/>
        </w:rPr>
      </w:pPr>
      <w:r w:rsidRPr="00D97A00">
        <w:rPr>
          <w:b/>
          <w:szCs w:val="22"/>
          <w:lang w:bidi="en-US"/>
        </w:rPr>
        <w:t>Literature Review</w:t>
      </w:r>
    </w:p>
    <w:p w14:paraId="44EE613C" w14:textId="77777777" w:rsidR="00D97A00" w:rsidRPr="00D97A00" w:rsidRDefault="00D97A00" w:rsidP="00D97A00">
      <w:pPr>
        <w:spacing w:line="480" w:lineRule="auto"/>
        <w:ind w:firstLine="720"/>
        <w:contextualSpacing/>
        <w:rPr>
          <w:b/>
          <w:szCs w:val="22"/>
          <w:lang w:bidi="en-US"/>
        </w:rPr>
      </w:pPr>
      <w:r w:rsidRPr="00D97A00">
        <w:rPr>
          <w:szCs w:val="22"/>
          <w:lang w:bidi="en-US"/>
        </w:rPr>
        <w:t xml:space="preserve">Student teaching refers to the full-time placement of teacher candidates in P-12 public school classrooms, under the supervision of on-site experienced teachers, most frequently called “cooperating teachers” (Clark, </w:t>
      </w:r>
      <w:proofErr w:type="spellStart"/>
      <w:r w:rsidRPr="00D97A00">
        <w:rPr>
          <w:szCs w:val="22"/>
          <w:lang w:bidi="en-US"/>
        </w:rPr>
        <w:t>Triggs</w:t>
      </w:r>
      <w:proofErr w:type="spellEnd"/>
      <w:r w:rsidRPr="00D97A00">
        <w:rPr>
          <w:szCs w:val="22"/>
          <w:lang w:bidi="en-US"/>
        </w:rPr>
        <w:t xml:space="preserve">, &amp; Nielson, 2014).  In addition to cooperating teachers, off-site supervisors associated with the EPP visit, observe, and typically evaluate student teachers intermittently (Slick, 1998).  The off-site supervisors are also responsible for communicating EPP expectations and policies to cooperating teachers (Veal &amp; </w:t>
      </w:r>
      <w:proofErr w:type="spellStart"/>
      <w:r w:rsidRPr="00D97A00">
        <w:rPr>
          <w:szCs w:val="22"/>
          <w:lang w:bidi="en-US"/>
        </w:rPr>
        <w:t>Rikard</w:t>
      </w:r>
      <w:proofErr w:type="spellEnd"/>
      <w:r w:rsidRPr="00D97A00">
        <w:rPr>
          <w:szCs w:val="22"/>
          <w:lang w:bidi="en-US"/>
        </w:rPr>
        <w:t xml:space="preserve">, 1998). </w:t>
      </w:r>
    </w:p>
    <w:p w14:paraId="0815165D" w14:textId="77777777" w:rsidR="00D97A00" w:rsidRPr="00D97A00" w:rsidRDefault="00D97A00" w:rsidP="00D97A00">
      <w:pPr>
        <w:keepNext/>
        <w:spacing w:line="480" w:lineRule="auto"/>
        <w:contextualSpacing/>
        <w:jc w:val="center"/>
        <w:rPr>
          <w:b/>
          <w:szCs w:val="22"/>
          <w:lang w:bidi="en-US"/>
        </w:rPr>
      </w:pPr>
      <w:r w:rsidRPr="00D97A00">
        <w:rPr>
          <w:b/>
          <w:szCs w:val="22"/>
          <w:lang w:bidi="en-US"/>
        </w:rPr>
        <w:t>The Role and Evaluative Tendencies of Cooperating Teachers</w:t>
      </w:r>
    </w:p>
    <w:p w14:paraId="2C079FEA" w14:textId="77777777" w:rsidR="00D97A00" w:rsidRPr="00D97A00" w:rsidRDefault="00D97A00" w:rsidP="00D97A00">
      <w:pPr>
        <w:keepNext/>
        <w:spacing w:line="480" w:lineRule="auto"/>
        <w:ind w:firstLine="720"/>
        <w:contextualSpacing/>
        <w:rPr>
          <w:szCs w:val="22"/>
          <w:lang w:bidi="en-US"/>
        </w:rPr>
      </w:pPr>
      <w:r w:rsidRPr="00D97A00">
        <w:rPr>
          <w:szCs w:val="22"/>
          <w:lang w:bidi="en-US"/>
        </w:rPr>
        <w:t xml:space="preserve">Researchers studying the roles cooperating teachers perform during the student teaching experience have found that the roles of support provider, modeler, and planner are those most readily and frequently assumed (Clark et al., 2014; </w:t>
      </w:r>
      <w:proofErr w:type="spellStart"/>
      <w:r w:rsidRPr="00D97A00">
        <w:rPr>
          <w:szCs w:val="22"/>
          <w:lang w:bidi="en-US"/>
        </w:rPr>
        <w:t>Koc</w:t>
      </w:r>
      <w:proofErr w:type="spellEnd"/>
      <w:r w:rsidRPr="00D97A00">
        <w:rPr>
          <w:szCs w:val="22"/>
          <w:lang w:bidi="en-US"/>
        </w:rPr>
        <w:t xml:space="preserve">, 2012; Sanders, Dowson, &amp; Sinclair, 2005).  Cooperating teachers were found to provide support and encouragement, demonstrate and model classroom procedures and instructional strategies, and co-plan teaching experiences with student teachers (Clark et al., 2014; </w:t>
      </w:r>
      <w:proofErr w:type="spellStart"/>
      <w:r w:rsidRPr="00D97A00">
        <w:rPr>
          <w:szCs w:val="22"/>
          <w:lang w:bidi="en-US"/>
        </w:rPr>
        <w:t>Koc</w:t>
      </w:r>
      <w:proofErr w:type="spellEnd"/>
      <w:r w:rsidRPr="00D97A00">
        <w:rPr>
          <w:szCs w:val="22"/>
          <w:lang w:bidi="en-US"/>
        </w:rPr>
        <w:t xml:space="preserve">, 2012; Sanders et al., 2005).  Studies investigating the effect of cooperating teachers on student teachers have found that student teachers were expected to closely mimic the practices, procedures, strategies, and curriculum of their cooperating teachers (Margolis &amp; </w:t>
      </w:r>
      <w:proofErr w:type="spellStart"/>
      <w:r w:rsidRPr="00D97A00">
        <w:rPr>
          <w:szCs w:val="22"/>
          <w:lang w:bidi="en-US"/>
        </w:rPr>
        <w:t>Doring</w:t>
      </w:r>
      <w:proofErr w:type="spellEnd"/>
      <w:r w:rsidRPr="00D97A00">
        <w:rPr>
          <w:szCs w:val="22"/>
          <w:lang w:bidi="en-US"/>
        </w:rPr>
        <w:t xml:space="preserve">, 2013; </w:t>
      </w:r>
      <w:proofErr w:type="spellStart"/>
      <w:r w:rsidRPr="00D97A00">
        <w:rPr>
          <w:szCs w:val="22"/>
          <w:lang w:bidi="en-US"/>
        </w:rPr>
        <w:t>Rozelle</w:t>
      </w:r>
      <w:proofErr w:type="spellEnd"/>
      <w:r w:rsidRPr="00D97A00">
        <w:rPr>
          <w:szCs w:val="22"/>
          <w:lang w:bidi="en-US"/>
        </w:rPr>
        <w:t xml:space="preserve"> &amp; Wilson, 2012; Torrez &amp; Krebs, 2012; Valencia, Martin, Place, &amp; Grossman, 2009).  While cooperating teachers’ responsibilities commonly included evaluation; they did not view evaluation as their primary responsibility (Clark et al., 2014; </w:t>
      </w:r>
      <w:proofErr w:type="spellStart"/>
      <w:r w:rsidRPr="00D97A00">
        <w:rPr>
          <w:szCs w:val="22"/>
          <w:lang w:bidi="en-US"/>
        </w:rPr>
        <w:t>Koc</w:t>
      </w:r>
      <w:proofErr w:type="spellEnd"/>
      <w:r w:rsidRPr="00D97A00">
        <w:rPr>
          <w:szCs w:val="22"/>
          <w:lang w:bidi="en-US"/>
        </w:rPr>
        <w:t xml:space="preserve">, 2012; Sanders et al., 2005).  In fact, cooperating teachers were often uncomfortable giving student teachers written, formal feedback, preferring instead to give informal and generally positive feedback (Clark et al.,2014).  </w:t>
      </w:r>
    </w:p>
    <w:p w14:paraId="3B8E9B57" w14:textId="77777777" w:rsidR="00D97A00" w:rsidRPr="00D97A00" w:rsidRDefault="00D97A00" w:rsidP="00D97A00">
      <w:pPr>
        <w:keepNext/>
        <w:spacing w:line="480" w:lineRule="auto"/>
        <w:ind w:firstLine="720"/>
        <w:contextualSpacing/>
        <w:rPr>
          <w:szCs w:val="22"/>
          <w:lang w:bidi="en-US"/>
        </w:rPr>
      </w:pPr>
      <w:r w:rsidRPr="00D97A00">
        <w:rPr>
          <w:szCs w:val="22"/>
          <w:lang w:bidi="en-US"/>
        </w:rPr>
        <w:t xml:space="preserve">When cooperating teachers did perform formal summative evaluations, the scores appeared to be inflated.  Phelps, Schmitz, and Boatright (1986) found cooperating teachers’ Likert-type summative evaluations contained halo and leniency effects, with student teachers rated highly across the board with little or no variation.  This remained true even after improvements to the evaluation instrument (Phelps, Schmitz, &amp; Wade, 1986).  These studies also found little variability between categories; that is, when cooperating teachers had good impressions of student teachers’ ability in the instructional area, they gave high scores in all categories assessed, regardless of student teachers’ abilities in other areas (Phelps, Schmitz, &amp; Boatright, 1986; Phelps, Schmitz &amp; Wade, 1986).  It is unclear whether these tendencies exist for cooperating teachers at all grade levels.  Both Phelps et al. studies found that the tendency towards high scores was slightly greater for elementary cooperating teachers, whereas </w:t>
      </w:r>
      <w:proofErr w:type="spellStart"/>
      <w:r w:rsidRPr="00D97A00">
        <w:rPr>
          <w:szCs w:val="22"/>
          <w:lang w:bidi="en-US"/>
        </w:rPr>
        <w:t>Brucklacher</w:t>
      </w:r>
      <w:proofErr w:type="spellEnd"/>
      <w:r w:rsidRPr="00D97A00">
        <w:rPr>
          <w:szCs w:val="22"/>
          <w:lang w:bidi="en-US"/>
        </w:rPr>
        <w:t xml:space="preserve"> (1998) found that both elementary and high school cooperating teachers gave uniformly high scores.   </w:t>
      </w:r>
    </w:p>
    <w:p w14:paraId="68EA2F72" w14:textId="77777777" w:rsidR="00D97A00" w:rsidRPr="00D97A00" w:rsidRDefault="00D97A00" w:rsidP="00D97A00">
      <w:pPr>
        <w:keepNext/>
        <w:spacing w:line="480" w:lineRule="auto"/>
        <w:ind w:firstLine="720"/>
        <w:contextualSpacing/>
        <w:rPr>
          <w:szCs w:val="22"/>
          <w:lang w:bidi="en-US"/>
        </w:rPr>
      </w:pPr>
      <w:r w:rsidRPr="00D97A00">
        <w:rPr>
          <w:szCs w:val="22"/>
          <w:lang w:bidi="en-US"/>
        </w:rPr>
        <w:t>Various reasons have been suggested for the possible inflation of student teacher evaluation scores on the part of cooperating teachers.  The psychometric quality of instruments used to evaluate teaching in general has been criticized (</w:t>
      </w:r>
      <w:proofErr w:type="spellStart"/>
      <w:r w:rsidRPr="00D97A00">
        <w:rPr>
          <w:szCs w:val="22"/>
          <w:lang w:bidi="en-US"/>
        </w:rPr>
        <w:t>Brucklacher</w:t>
      </w:r>
      <w:proofErr w:type="spellEnd"/>
      <w:r w:rsidRPr="00D97A00">
        <w:rPr>
          <w:szCs w:val="22"/>
          <w:lang w:bidi="en-US"/>
        </w:rPr>
        <w:t>, 1998; Knight et al., 2014), as has an educational paradigm that assumes everyone will get high grades (</w:t>
      </w:r>
      <w:proofErr w:type="spellStart"/>
      <w:r w:rsidRPr="00D97A00">
        <w:rPr>
          <w:szCs w:val="22"/>
          <w:lang w:bidi="en-US"/>
        </w:rPr>
        <w:t>Brucklacher</w:t>
      </w:r>
      <w:proofErr w:type="spellEnd"/>
      <w:r w:rsidRPr="00D97A00">
        <w:rPr>
          <w:szCs w:val="22"/>
          <w:lang w:bidi="en-US"/>
        </w:rPr>
        <w:t xml:space="preserve">, 1998; </w:t>
      </w:r>
      <w:proofErr w:type="spellStart"/>
      <w:r w:rsidRPr="00D97A00">
        <w:rPr>
          <w:szCs w:val="22"/>
          <w:lang w:bidi="en-US"/>
        </w:rPr>
        <w:t>Gargani</w:t>
      </w:r>
      <w:proofErr w:type="spellEnd"/>
      <w:r w:rsidRPr="00D97A00">
        <w:rPr>
          <w:szCs w:val="22"/>
          <w:lang w:bidi="en-US"/>
        </w:rPr>
        <w:t xml:space="preserve"> &amp; Strong, 2014).  Young and MacPhail (2015) further suggested that cooperating teachers who were not confident in their own teaching capabilities were reluctant to be critical of student teachers’ performance.  Another common opinion among researchers is that cooperating teachers do not receive enough training about their responsibilities in general and about evaluation in particular, and thus cannot be effective evaluators (</w:t>
      </w:r>
      <w:proofErr w:type="spellStart"/>
      <w:r w:rsidRPr="00D97A00">
        <w:rPr>
          <w:szCs w:val="22"/>
          <w:lang w:bidi="en-US"/>
        </w:rPr>
        <w:t>Raths</w:t>
      </w:r>
      <w:proofErr w:type="spellEnd"/>
      <w:r w:rsidRPr="00D97A00">
        <w:rPr>
          <w:szCs w:val="22"/>
          <w:lang w:bidi="en-US"/>
        </w:rPr>
        <w:t xml:space="preserve"> &amp; Lyman, 2003; Sanders et al., 2005; Torrez &amp; Krebs, 2012; Young &amp; MacPhail, 2015).  The idea that lack of training leads to inflated scores is supported by several studies that found training in objective, ongoing assessment decreased score inflation and increased objectivity on the part of cooperating teachers (Clark et al., 2014; Deering, 2011; </w:t>
      </w:r>
      <w:proofErr w:type="spellStart"/>
      <w:r w:rsidRPr="00D97A00">
        <w:rPr>
          <w:szCs w:val="22"/>
          <w:lang w:bidi="en-US"/>
        </w:rPr>
        <w:t>Gareis</w:t>
      </w:r>
      <w:proofErr w:type="spellEnd"/>
      <w:r w:rsidRPr="00D97A00">
        <w:rPr>
          <w:szCs w:val="22"/>
          <w:lang w:bidi="en-US"/>
        </w:rPr>
        <w:t xml:space="preserve"> &amp; Grant, 2014; Kent, 2001).  </w:t>
      </w:r>
    </w:p>
    <w:p w14:paraId="7B2B1641" w14:textId="77777777" w:rsidR="00D97A00" w:rsidRPr="00D97A00" w:rsidRDefault="00D97A00" w:rsidP="00D97A00">
      <w:pPr>
        <w:keepNext/>
        <w:spacing w:line="480" w:lineRule="auto"/>
        <w:ind w:firstLine="720"/>
        <w:contextualSpacing/>
        <w:rPr>
          <w:szCs w:val="22"/>
          <w:lang w:bidi="en-US"/>
        </w:rPr>
      </w:pPr>
      <w:r w:rsidRPr="00D97A00">
        <w:rPr>
          <w:szCs w:val="22"/>
          <w:lang w:bidi="en-US"/>
        </w:rPr>
        <w:t>In addition to the reasons outlined above, most researchers investigating this area have pointed to the relationship between student teachers and cooperating teachers as the main source of inflated evaluation scores.  These researchers have found that cooperating teachers were uncomfortable giving constructive criticism or corrections as it might damage their relationship with the student teachers (</w:t>
      </w:r>
      <w:proofErr w:type="spellStart"/>
      <w:r w:rsidRPr="00D97A00">
        <w:rPr>
          <w:szCs w:val="22"/>
          <w:lang w:bidi="en-US"/>
        </w:rPr>
        <w:t>Brucklacher</w:t>
      </w:r>
      <w:proofErr w:type="spellEnd"/>
      <w:r w:rsidRPr="00D97A00">
        <w:rPr>
          <w:szCs w:val="22"/>
          <w:lang w:bidi="en-US"/>
        </w:rPr>
        <w:t xml:space="preserve">, 1998; </w:t>
      </w:r>
      <w:proofErr w:type="spellStart"/>
      <w:r w:rsidRPr="00D97A00">
        <w:rPr>
          <w:szCs w:val="22"/>
          <w:lang w:bidi="en-US"/>
        </w:rPr>
        <w:t>Raths</w:t>
      </w:r>
      <w:proofErr w:type="spellEnd"/>
      <w:r w:rsidRPr="00D97A00">
        <w:rPr>
          <w:szCs w:val="22"/>
          <w:lang w:bidi="en-US"/>
        </w:rPr>
        <w:t xml:space="preserve"> &amp; Lyman, 2003; Torrez &amp; Krebs, 2012; Young &amp; MacPhail, 2015).  Deering (2011) suggested that the dynamic between cooperating teachers and student teachers resulted in cooperating teachers forming allegiances to student teachers, rather than to the EPP or even to the student teachers’ future students.  This position is supported by Murray (2013), who reported anecdotal evidence that cooperating teachers reported a "public" evaluation to the EPP in order to help student teachers find a job, whereas their “private” evaluation was used for mentoring and guidance.</w:t>
      </w:r>
    </w:p>
    <w:p w14:paraId="3F01C6C1" w14:textId="77777777" w:rsidR="00D97A00" w:rsidRPr="00D97A00" w:rsidRDefault="00D97A00" w:rsidP="00D97A00">
      <w:pPr>
        <w:keepNext/>
        <w:spacing w:line="480" w:lineRule="auto"/>
        <w:contextualSpacing/>
        <w:jc w:val="center"/>
        <w:rPr>
          <w:b/>
          <w:szCs w:val="22"/>
          <w:lang w:bidi="en-US"/>
        </w:rPr>
      </w:pPr>
      <w:r w:rsidRPr="00D97A00">
        <w:rPr>
          <w:b/>
          <w:szCs w:val="22"/>
          <w:lang w:bidi="en-US"/>
        </w:rPr>
        <w:t>The Role and Evaluative Tendencies of Supervisors</w:t>
      </w:r>
    </w:p>
    <w:p w14:paraId="4232BFCB" w14:textId="77777777" w:rsidR="00D97A00" w:rsidRPr="00D97A00" w:rsidRDefault="00D97A00" w:rsidP="00D97A00">
      <w:pPr>
        <w:keepNext/>
        <w:spacing w:line="480" w:lineRule="auto"/>
        <w:ind w:firstLine="720"/>
        <w:contextualSpacing/>
        <w:rPr>
          <w:szCs w:val="22"/>
          <w:lang w:bidi="en-US"/>
        </w:rPr>
      </w:pPr>
      <w:r w:rsidRPr="00D97A00">
        <w:rPr>
          <w:szCs w:val="22"/>
          <w:lang w:bidi="en-US"/>
        </w:rPr>
        <w:t>At the school site, supervisors are outsiders, viewed as evaluators, judges, and gatekeepers (Slick, 1998).  As they spend less time with student teachers, supervisors are traditionally thought to represent more distant, objective evaluators (</w:t>
      </w:r>
      <w:proofErr w:type="spellStart"/>
      <w:r w:rsidRPr="00D97A00">
        <w:rPr>
          <w:szCs w:val="22"/>
          <w:lang w:bidi="en-US"/>
        </w:rPr>
        <w:t>Gareis</w:t>
      </w:r>
      <w:proofErr w:type="spellEnd"/>
      <w:r w:rsidRPr="00D97A00">
        <w:rPr>
          <w:szCs w:val="22"/>
          <w:lang w:bidi="en-US"/>
        </w:rPr>
        <w:t xml:space="preserve"> &amp; Grant, 2014; Kent, 2001).  Data presented by </w:t>
      </w:r>
      <w:proofErr w:type="spellStart"/>
      <w:r w:rsidRPr="00D97A00">
        <w:rPr>
          <w:szCs w:val="22"/>
          <w:lang w:bidi="en-US"/>
        </w:rPr>
        <w:t>Gareis</w:t>
      </w:r>
      <w:proofErr w:type="spellEnd"/>
      <w:r w:rsidRPr="00D97A00">
        <w:rPr>
          <w:szCs w:val="22"/>
          <w:lang w:bidi="en-US"/>
        </w:rPr>
        <w:t xml:space="preserve"> and Grant (2014) as part of a study on the effect of training on student teacher evaluations showed that both trained and untrained cooperating teachers gave student teachers higher overall ratings than did supervisors.  Similarly, in a study comparing simultaneous evaluations of student teachers, </w:t>
      </w:r>
      <w:proofErr w:type="spellStart"/>
      <w:r w:rsidRPr="00D97A00">
        <w:rPr>
          <w:szCs w:val="22"/>
          <w:lang w:bidi="en-US"/>
        </w:rPr>
        <w:t>Ziv</w:t>
      </w:r>
      <w:proofErr w:type="spellEnd"/>
      <w:r w:rsidRPr="00D97A00">
        <w:rPr>
          <w:szCs w:val="22"/>
          <w:lang w:bidi="en-US"/>
        </w:rPr>
        <w:t>, Silverstein, and Tamir (1993) found that scores given by supervisors were statistically significantly lower than those given by cooperating teachers, with no statistically significant difference between the scores of supervisors and the scores of independent observers.  These studies support the notion of supervisors as more objective evaluators of student teachers.  However, other researchers have called into question the quality of supervisors’ evaluations.  Supervisors have been accused of a lack of objectivity in summative evaluations (Deering, 2011), and their ratings have been called unreliable, invalid, and un-predictive of P-12 student success (</w:t>
      </w:r>
      <w:proofErr w:type="spellStart"/>
      <w:r w:rsidRPr="00D97A00">
        <w:rPr>
          <w:szCs w:val="22"/>
          <w:lang w:bidi="en-US"/>
        </w:rPr>
        <w:t>Sandholtz</w:t>
      </w:r>
      <w:proofErr w:type="spellEnd"/>
      <w:r w:rsidRPr="00D97A00">
        <w:rPr>
          <w:szCs w:val="22"/>
          <w:lang w:bidi="en-US"/>
        </w:rPr>
        <w:t xml:space="preserve"> &amp; Shea, 2012; Strong, </w:t>
      </w:r>
      <w:proofErr w:type="spellStart"/>
      <w:r w:rsidRPr="00D97A00">
        <w:rPr>
          <w:szCs w:val="22"/>
          <w:lang w:bidi="en-US"/>
        </w:rPr>
        <w:t>Gargani</w:t>
      </w:r>
      <w:proofErr w:type="spellEnd"/>
      <w:r w:rsidRPr="00D97A00">
        <w:rPr>
          <w:szCs w:val="22"/>
          <w:lang w:bidi="en-US"/>
        </w:rPr>
        <w:t xml:space="preserve">, &amp; </w:t>
      </w:r>
      <w:proofErr w:type="spellStart"/>
      <w:r w:rsidRPr="00D97A00">
        <w:rPr>
          <w:szCs w:val="22"/>
          <w:lang w:bidi="en-US"/>
        </w:rPr>
        <w:t>Hacifazlioğlu</w:t>
      </w:r>
      <w:proofErr w:type="spellEnd"/>
      <w:r w:rsidRPr="00D97A00">
        <w:rPr>
          <w:szCs w:val="22"/>
          <w:lang w:bidi="en-US"/>
        </w:rPr>
        <w:t xml:space="preserve">, 2011; Wilson, </w:t>
      </w:r>
      <w:proofErr w:type="spellStart"/>
      <w:r w:rsidRPr="00D97A00">
        <w:rPr>
          <w:szCs w:val="22"/>
          <w:lang w:bidi="en-US"/>
        </w:rPr>
        <w:t>Floden</w:t>
      </w:r>
      <w:proofErr w:type="spellEnd"/>
      <w:r w:rsidRPr="00D97A00">
        <w:rPr>
          <w:szCs w:val="22"/>
          <w:lang w:bidi="en-US"/>
        </w:rPr>
        <w:t xml:space="preserve">, &amp; </w:t>
      </w:r>
      <w:proofErr w:type="spellStart"/>
      <w:r w:rsidRPr="00D97A00">
        <w:rPr>
          <w:szCs w:val="22"/>
          <w:lang w:bidi="en-US"/>
        </w:rPr>
        <w:t>Ferrini</w:t>
      </w:r>
      <w:proofErr w:type="spellEnd"/>
      <w:r w:rsidRPr="00D97A00">
        <w:rPr>
          <w:szCs w:val="22"/>
          <w:lang w:bidi="en-US"/>
        </w:rPr>
        <w:t xml:space="preserve">-Mundy, 2001).  </w:t>
      </w:r>
    </w:p>
    <w:p w14:paraId="2FF494E1" w14:textId="77777777" w:rsidR="00D97A00" w:rsidRPr="00D97A00" w:rsidRDefault="00D97A00" w:rsidP="00D97A00">
      <w:pPr>
        <w:keepNext/>
        <w:spacing w:line="480" w:lineRule="auto"/>
        <w:ind w:firstLine="720"/>
        <w:contextualSpacing/>
        <w:rPr>
          <w:szCs w:val="22"/>
          <w:lang w:bidi="en-US"/>
        </w:rPr>
      </w:pPr>
      <w:r w:rsidRPr="00D97A00">
        <w:rPr>
          <w:szCs w:val="22"/>
          <w:lang w:bidi="en-US"/>
        </w:rPr>
        <w:t>Reasons that supervisors might inflate student teaching evaluation scores generally echo those proposed for cooperating teachers – an expectation of excelling in the field of education (</w:t>
      </w:r>
      <w:proofErr w:type="spellStart"/>
      <w:r w:rsidRPr="00D97A00">
        <w:rPr>
          <w:szCs w:val="22"/>
          <w:lang w:bidi="en-US"/>
        </w:rPr>
        <w:t>Raths</w:t>
      </w:r>
      <w:proofErr w:type="spellEnd"/>
      <w:r w:rsidRPr="00D97A00">
        <w:rPr>
          <w:szCs w:val="22"/>
          <w:lang w:bidi="en-US"/>
        </w:rPr>
        <w:t xml:space="preserve"> &amp; Lyman, 2003); poor training (Arends, 2006); and the supportive relationships between supervisors and student teachers (</w:t>
      </w:r>
      <w:proofErr w:type="spellStart"/>
      <w:r w:rsidRPr="00D97A00">
        <w:rPr>
          <w:szCs w:val="22"/>
          <w:lang w:bidi="en-US"/>
        </w:rPr>
        <w:t>Raths</w:t>
      </w:r>
      <w:proofErr w:type="spellEnd"/>
      <w:r w:rsidRPr="00D97A00">
        <w:rPr>
          <w:szCs w:val="22"/>
          <w:lang w:bidi="en-US"/>
        </w:rPr>
        <w:t xml:space="preserve"> &amp; Lyman, 2003; Slick, 1997; Valencia et al., 2009).  Additionally, supervisors tend to be adjunct faculty with little standing at the university who may not feel they have the power to act as true gatekeepers to the teaching profession (</w:t>
      </w:r>
      <w:proofErr w:type="spellStart"/>
      <w:r w:rsidRPr="00D97A00">
        <w:rPr>
          <w:szCs w:val="22"/>
          <w:lang w:bidi="en-US"/>
        </w:rPr>
        <w:t>Raths</w:t>
      </w:r>
      <w:proofErr w:type="spellEnd"/>
      <w:r w:rsidRPr="00D97A00">
        <w:rPr>
          <w:szCs w:val="22"/>
          <w:lang w:bidi="en-US"/>
        </w:rPr>
        <w:t xml:space="preserve"> &amp; Lyman, 2003), or tenure-track faculty who have had supervisory duties added to an already full-load and do not have the time and energy to engage fully in supervision (Slick, 1998).  </w:t>
      </w:r>
    </w:p>
    <w:p w14:paraId="5500562D" w14:textId="77777777" w:rsidR="00D97A00" w:rsidRPr="00D97A00" w:rsidRDefault="00D97A00" w:rsidP="00D97A00">
      <w:pPr>
        <w:keepNext/>
        <w:spacing w:line="480" w:lineRule="auto"/>
        <w:ind w:firstLine="720"/>
        <w:contextualSpacing/>
        <w:rPr>
          <w:szCs w:val="22"/>
          <w:lang w:bidi="en-US"/>
        </w:rPr>
      </w:pPr>
      <w:r w:rsidRPr="00D97A00">
        <w:rPr>
          <w:szCs w:val="22"/>
          <w:lang w:bidi="en-US"/>
        </w:rPr>
        <w:t xml:space="preserve">It is worth noting at this juncture that many incompetent students are counseled out of teacher education programs before they reach student teaching (Barrett, 1986).  Thus, most students placed in student teaching are competent to begin with and should expect strong evaluations, reflecting Arends’ (2006) report that across the United States, 95% of student teachers received a grade of A for student teaching.  However, inflated scores remain a cause for concern as student teacher evaluations are a major factor in determining whether student teachers are recommended for certification and ultimately employed (Deering, 2011).  Much of the literature suggests that cooperating teachers are subjective evaluators.  This may or may not be the case for supervisors.  Supervisors appear to be more comfortable with the role of evaluator; however the evidence is mixed in terms of whether they are actually more objective than cooperating teachers during the evaluation process.  </w:t>
      </w:r>
    </w:p>
    <w:p w14:paraId="08F6DF68" w14:textId="77777777" w:rsidR="00D97A00" w:rsidRPr="00D97A00" w:rsidRDefault="00D97A00" w:rsidP="00D97A00">
      <w:pPr>
        <w:keepNext/>
        <w:spacing w:line="480" w:lineRule="auto"/>
        <w:ind w:firstLine="720"/>
        <w:contextualSpacing/>
        <w:rPr>
          <w:szCs w:val="22"/>
          <w:lang w:bidi="en-US"/>
        </w:rPr>
      </w:pPr>
      <w:r w:rsidRPr="00D97A00">
        <w:rPr>
          <w:szCs w:val="22"/>
          <w:lang w:bidi="en-US"/>
        </w:rPr>
        <w:t xml:space="preserve">To our knowledge, no research in the past 20 years has attempted to directly compare the evaluations of these two groups; instead focusing on the roles of cooperating teachers and supervisors or the quality of student teacher evaluation instruments.  Therefore, this study aimed to investigate the consistency of cooperating teachers’ and supervisors’ student teacher evaluations.  We asked (1) whether the overall evaluations given by cooperating teachers and supervisors differed when using the same instrument to evaluate the same student teachers and (2) if there were differences within specific categories of the instrument.  We hypothesized that cooperating teachers’ and supervisors’ global ratings would differ, with cooperating teachers’ ratings being higher than </w:t>
      </w:r>
      <w:proofErr w:type="spellStart"/>
      <w:r w:rsidRPr="00D97A00">
        <w:rPr>
          <w:szCs w:val="22"/>
          <w:lang w:bidi="en-US"/>
        </w:rPr>
        <w:t>supervisors’</w:t>
      </w:r>
      <w:r>
        <w:rPr>
          <w:szCs w:val="22"/>
          <w:lang w:bidi="en-US"/>
        </w:rPr>
        <w:t>ratings</w:t>
      </w:r>
      <w:proofErr w:type="spellEnd"/>
      <w:r w:rsidRPr="00D97A00">
        <w:rPr>
          <w:szCs w:val="22"/>
          <w:lang w:bidi="en-US"/>
        </w:rPr>
        <w:t xml:space="preserve"> across all categories of the evaluation instrument. </w:t>
      </w:r>
    </w:p>
    <w:p w14:paraId="01E55135" w14:textId="77777777" w:rsidR="00D97A00" w:rsidRPr="00D97A00" w:rsidRDefault="00D97A00" w:rsidP="00D97A00">
      <w:pPr>
        <w:keepNext/>
        <w:spacing w:line="480" w:lineRule="auto"/>
        <w:contextualSpacing/>
        <w:jc w:val="center"/>
        <w:rPr>
          <w:b/>
          <w:szCs w:val="22"/>
          <w:lang w:bidi="en-US"/>
        </w:rPr>
      </w:pPr>
      <w:r w:rsidRPr="00D97A00">
        <w:rPr>
          <w:b/>
          <w:szCs w:val="22"/>
          <w:lang w:bidi="en-US"/>
        </w:rPr>
        <w:t>Method</w:t>
      </w:r>
    </w:p>
    <w:p w14:paraId="5569091D" w14:textId="77777777" w:rsidR="00D97A00" w:rsidRPr="00D97A00" w:rsidRDefault="00D97A00" w:rsidP="00D97A00">
      <w:pPr>
        <w:keepNext/>
        <w:spacing w:line="480" w:lineRule="auto"/>
        <w:ind w:firstLine="720"/>
        <w:contextualSpacing/>
        <w:rPr>
          <w:szCs w:val="22"/>
          <w:lang w:bidi="en-US"/>
        </w:rPr>
      </w:pPr>
      <w:r w:rsidRPr="00D97A00">
        <w:rPr>
          <w:szCs w:val="22"/>
          <w:lang w:bidi="en-US"/>
        </w:rPr>
        <w:t xml:space="preserve">This study was conducted at an EPP offering traditional, degree-based, undergraduate programs, as well as certification-only post-baccalaureate graduate programs at a 4-year public university in the southern region of the United States. All of the procedures in this study were part of the EPP’s regular system for evaluating student teachers.  All data were collected as part of the EPP’s normal procedures prior to the conception of the study and are thus secondary data.  </w:t>
      </w:r>
    </w:p>
    <w:p w14:paraId="398F737B" w14:textId="77777777" w:rsidR="00D97A00" w:rsidRPr="00D97A00" w:rsidRDefault="00D97A00" w:rsidP="00B97E97">
      <w:pPr>
        <w:keepNext/>
        <w:spacing w:line="480" w:lineRule="auto"/>
        <w:contextualSpacing/>
        <w:jc w:val="center"/>
        <w:rPr>
          <w:b/>
          <w:szCs w:val="22"/>
          <w:lang w:bidi="en-US"/>
        </w:rPr>
      </w:pPr>
      <w:r w:rsidRPr="00D97A00">
        <w:rPr>
          <w:b/>
          <w:szCs w:val="22"/>
          <w:lang w:bidi="en-US"/>
        </w:rPr>
        <w:t>Participants</w:t>
      </w:r>
    </w:p>
    <w:p w14:paraId="4F4E0D46" w14:textId="77777777" w:rsidR="00D97A00" w:rsidRPr="00D97A00" w:rsidRDefault="00D97A00" w:rsidP="00D97A00">
      <w:pPr>
        <w:keepNext/>
        <w:spacing w:line="480" w:lineRule="auto"/>
        <w:ind w:firstLine="720"/>
        <w:contextualSpacing/>
        <w:rPr>
          <w:szCs w:val="22"/>
          <w:lang w:bidi="en-US"/>
        </w:rPr>
      </w:pPr>
      <w:r w:rsidRPr="00D97A00">
        <w:rPr>
          <w:szCs w:val="22"/>
          <w:lang w:bidi="en-US"/>
        </w:rPr>
        <w:t>Participants were 701 student teachers at the EPP from the fall of 2011 through the spring of 2015.  Seventy two percent of the student teachers were female and twenty eight percent were male.  The ethnic distribution of the student teachers was 71.6% White, 12.8% Hispanic, 5.1% Asian, 4.8% Black/African American, 0.1% Pacific Islander, and 5.3% not specified or missing.  The student teachers comprised 73% undergraduate students and 27% graduate students.  Of these, 6% completed student teaching in an elementary school classroom, 22% in a middle school classroom, and 72% in a high school classroom.</w:t>
      </w:r>
    </w:p>
    <w:p w14:paraId="00601D3C" w14:textId="77777777" w:rsidR="00D97A00" w:rsidRPr="00D97A00" w:rsidRDefault="00D97A00" w:rsidP="00D97A00">
      <w:pPr>
        <w:keepNext/>
        <w:spacing w:line="480" w:lineRule="auto"/>
        <w:ind w:firstLine="720"/>
        <w:contextualSpacing/>
        <w:rPr>
          <w:szCs w:val="22"/>
          <w:lang w:bidi="en-US"/>
        </w:rPr>
      </w:pPr>
      <w:r w:rsidRPr="00D97A00">
        <w:rPr>
          <w:szCs w:val="22"/>
          <w:lang w:bidi="en-US"/>
        </w:rPr>
        <w:t>The evaluations of these student teachers were completed by 46 supervisors and 618 cooperating teachers.  The EPP set minimum criteria for cooperating teachers and supervisors across all programs.  These criteria for cooperating teachers were that they taught in the same grade and content area as the student teachers’ certification, had three or more years of teaching experience, and had received previous mentor training or been recommended to serve as a cooperating teacher by their principal.  Minimum criteria for supervisors were that they held an advanced degree, were certified to teach, and had at least five years teaching experience.  Almost all of the supervisors employed during the time period of this study were adjunct faculty who were retired educators; many held principal certifications and some had terminal degrees.</w:t>
      </w:r>
    </w:p>
    <w:p w14:paraId="024E425E" w14:textId="77777777" w:rsidR="00D97A00" w:rsidRPr="00D97A00" w:rsidRDefault="00D97A00" w:rsidP="00B97E97">
      <w:pPr>
        <w:keepNext/>
        <w:spacing w:line="480" w:lineRule="auto"/>
        <w:contextualSpacing/>
        <w:jc w:val="center"/>
        <w:rPr>
          <w:b/>
          <w:szCs w:val="22"/>
          <w:lang w:bidi="en-US"/>
        </w:rPr>
      </w:pPr>
      <w:r w:rsidRPr="00D97A00">
        <w:rPr>
          <w:b/>
          <w:szCs w:val="22"/>
          <w:lang w:bidi="en-US"/>
        </w:rPr>
        <w:t>Instrument and Training</w:t>
      </w:r>
    </w:p>
    <w:p w14:paraId="0F54D324" w14:textId="77777777" w:rsidR="00D97A00" w:rsidRPr="00D97A00" w:rsidRDefault="00D97A00" w:rsidP="00D97A00">
      <w:pPr>
        <w:keepNext/>
        <w:spacing w:line="480" w:lineRule="auto"/>
        <w:ind w:firstLine="720"/>
        <w:contextualSpacing/>
        <w:rPr>
          <w:szCs w:val="22"/>
          <w:lang w:bidi="en-US"/>
        </w:rPr>
      </w:pPr>
      <w:r w:rsidRPr="00D97A00">
        <w:rPr>
          <w:szCs w:val="22"/>
          <w:lang w:bidi="en-US"/>
        </w:rPr>
        <w:t xml:space="preserve">The Appraisal of Classroom Teaching (ACT) is a rating instrument developed to observe and evaluate student teaching performance in P-12 settings (Dixon-Krauss, Byrd, Ponce, &amp; Bush, 2011, 2012).  The ACT was used to evaluate student teachers’ teaching effectiveness at this EPP by both cooperating teachers and supervisors.  The instrument contained 42 general pedagogy items classified into seven categories: Lesson Planning, Lesson Delivery, Lesson Assessment, Classroom Management and Engagement, Questioning and Inquiry, Diversity, and General Teaching Skills.  The number of items as well as a brief description of the content of each category are displayed in Table 1.  All items on the ACT were scored using a 6-point Likert-type scale (1 = unsatisfactory, 2 = needs improvement, 3 = below average, 4 = satisfactory, 5 = above average, and 6 = exceptional).  Category scores were calculated by taking the mean score for all items within each category, ranging from 1 to 6.  </w:t>
      </w:r>
    </w:p>
    <w:p w14:paraId="4434B667" w14:textId="77777777" w:rsidR="00D97A00" w:rsidRPr="00D97A00" w:rsidRDefault="00D97A00" w:rsidP="00D97A00">
      <w:pPr>
        <w:keepNext/>
        <w:spacing w:line="480" w:lineRule="auto"/>
        <w:ind w:firstLine="720"/>
        <w:contextualSpacing/>
        <w:rPr>
          <w:szCs w:val="22"/>
          <w:lang w:bidi="en-US"/>
        </w:rPr>
      </w:pPr>
      <w:r w:rsidRPr="00D97A00">
        <w:rPr>
          <w:szCs w:val="22"/>
          <w:lang w:bidi="en-US"/>
        </w:rPr>
        <w:t xml:space="preserve">Preliminary reliability and validity evidence for the ACT was provided by Dixon-Krauss et al. (2011, 2012).  The reported inter-rater reliability was strong (96% in agreement), and the Cronbach’s alpha coefficients (Cronbach, 1951) indicated excellent internal consistency for all items (0.97) and for individual scales (ranging from 0.90-0.97) with the exception of 0.56 for the General Teaching Skills scale.  In addition, Exploratory Factor Analysis (EFA) was used to inform the factor structure of the instrument.  The first six categories of the items – Lesson Planning, Lesson Delivery, Lesson Assessment, Classroom Management and Engagement, Questioning and Inquiry, and Diversity – accounted for 68% of the variance in the scores (Dixon-Krauss et al., 2011).  The seventh category, General Teaching Skills, was retained despite these items not loading on a factor, based on an expert panel’s knowledge of best practices indicating that teachers needed to perform well on these items.  </w:t>
      </w:r>
    </w:p>
    <w:p w14:paraId="3546590F" w14:textId="77777777" w:rsidR="00D97A00" w:rsidRPr="00D97A00" w:rsidRDefault="00D97A00" w:rsidP="00D97A00">
      <w:pPr>
        <w:keepNext/>
        <w:spacing w:line="480" w:lineRule="auto"/>
        <w:contextualSpacing/>
        <w:rPr>
          <w:szCs w:val="22"/>
          <w:lang w:bidi="en-US"/>
        </w:rPr>
      </w:pPr>
      <w:r w:rsidRPr="00D97A00">
        <w:rPr>
          <w:szCs w:val="22"/>
          <w:lang w:bidi="en-US"/>
        </w:rPr>
        <w:tab/>
        <w:t>Supervisors at this EPP were trained in the use of the instrument upon first adoption via a four-hour training session in which expectations for each item and rating were discussed by the EPP’s director of clinical practice.  This training session concluded with supervisors independently rating the video-taped performance of a student teacher with 96% agreement (Dixon-Krauss et al., 2011).  New supervisors hired after the original training met individually with the EPP’s director of clinical practice to receive training.  All supervisors underwent an additional three-hour training session prior to the beginning of each semester as a refresher on the ACT and other supervisory responsibilities.  Supervisors were responsible for training cooperating teachers with the aid of a Mentor Teacher Handbook and online training modules.</w:t>
      </w:r>
    </w:p>
    <w:p w14:paraId="66D3691E" w14:textId="77777777" w:rsidR="00D97A00" w:rsidRPr="00D97A00" w:rsidRDefault="00D97A00" w:rsidP="00B97E97">
      <w:pPr>
        <w:keepNext/>
        <w:spacing w:line="480" w:lineRule="auto"/>
        <w:contextualSpacing/>
        <w:jc w:val="center"/>
        <w:rPr>
          <w:b/>
          <w:szCs w:val="22"/>
          <w:lang w:bidi="en-US"/>
        </w:rPr>
      </w:pPr>
      <w:r w:rsidRPr="00D97A00">
        <w:rPr>
          <w:b/>
          <w:szCs w:val="22"/>
          <w:lang w:bidi="en-US"/>
        </w:rPr>
        <w:t>Observation and Data Collection Procedures</w:t>
      </w:r>
    </w:p>
    <w:p w14:paraId="5774877A" w14:textId="77777777" w:rsidR="00D97A00" w:rsidRPr="00D97A00" w:rsidRDefault="00D97A00" w:rsidP="00D97A00">
      <w:pPr>
        <w:keepNext/>
        <w:spacing w:line="480" w:lineRule="auto"/>
        <w:ind w:firstLine="720"/>
        <w:contextualSpacing/>
        <w:rPr>
          <w:szCs w:val="22"/>
          <w:lang w:bidi="en-US"/>
        </w:rPr>
      </w:pPr>
      <w:r w:rsidRPr="00D97A00">
        <w:rPr>
          <w:szCs w:val="22"/>
          <w:lang w:bidi="en-US"/>
        </w:rPr>
        <w:t xml:space="preserve">The student teachers at this EPP were observed teaching by their supervisors four times throughout student teaching, while cooperating teachers observed student teachers each day for 15 consecutive weeks.  Both cooperating teachers and supervisors completed the ACT at the end of the student teaching semester as a summative evaluation as part of the requirement for program completion.  The ACT instrument was administered through an electronic assessment system, into which both evaluators logged in with unique credentials.  Scores on each of the items were then extracted from the electronic assessment system for student teachers meeting the inclusion criteria.  Only student teachers who had one supervisor and one cooperating teacher and who had evaluations fully completed by both were included in the study.  </w:t>
      </w:r>
    </w:p>
    <w:p w14:paraId="2C7E3C85" w14:textId="77777777" w:rsidR="00D97A00" w:rsidRPr="00D97A00" w:rsidRDefault="00D97A00" w:rsidP="00D97A00">
      <w:pPr>
        <w:keepNext/>
        <w:spacing w:line="480" w:lineRule="auto"/>
        <w:contextualSpacing/>
        <w:jc w:val="center"/>
        <w:rPr>
          <w:b/>
          <w:szCs w:val="22"/>
          <w:lang w:bidi="en-US"/>
        </w:rPr>
      </w:pPr>
      <w:r w:rsidRPr="00D97A00">
        <w:rPr>
          <w:b/>
          <w:szCs w:val="22"/>
          <w:lang w:bidi="en-US"/>
        </w:rPr>
        <w:t>Data Preparation, Analysis, and Results</w:t>
      </w:r>
    </w:p>
    <w:p w14:paraId="01E4950F" w14:textId="77777777" w:rsidR="00D97A00" w:rsidRPr="00D97A00" w:rsidRDefault="00D97A00" w:rsidP="00D97A00">
      <w:pPr>
        <w:keepNext/>
        <w:spacing w:line="480" w:lineRule="auto"/>
        <w:ind w:firstLine="720"/>
        <w:contextualSpacing/>
        <w:rPr>
          <w:szCs w:val="22"/>
          <w:lang w:bidi="en-US"/>
        </w:rPr>
      </w:pPr>
      <w:r w:rsidRPr="00D97A00">
        <w:rPr>
          <w:szCs w:val="22"/>
          <w:lang w:bidi="en-US"/>
        </w:rPr>
        <w:t xml:space="preserve">Prior to data analysis, data were checked for outliers and statistical assumptions.  Because the inclusion criteria specified complete evaluations, there were no missing values.  The scores in each category were evaluated for outliers using Tukey’s (1977) boxplot method.  Twenty-eight evaluations (4.0%) representing low-end outlier cases were identified and retained given that in all cases, the outliers were within the possible range and deemed to be legitimate scores.  </w:t>
      </w:r>
    </w:p>
    <w:p w14:paraId="393712A7" w14:textId="77777777" w:rsidR="00D97A00" w:rsidRPr="00D97A00" w:rsidRDefault="00D97A00" w:rsidP="00D97A00">
      <w:pPr>
        <w:keepNext/>
        <w:spacing w:line="480" w:lineRule="auto"/>
        <w:ind w:firstLine="720"/>
        <w:contextualSpacing/>
        <w:rPr>
          <w:szCs w:val="22"/>
          <w:lang w:bidi="en-US"/>
        </w:rPr>
      </w:pPr>
      <w:r w:rsidRPr="00D97A00">
        <w:rPr>
          <w:szCs w:val="22"/>
          <w:lang w:bidi="en-US"/>
        </w:rPr>
        <w:t>Cronbach’s alpha coefficients (Cronbach, 1951) were used to determine internal reliability of the scales.  The Cronbach's alphas for each category were: 0.92 for Lesson Planning, 0.94 for Lesson Delivery, 0.97 for Lesson Assessment, 0.93 for Classroom Management and Engagement, 0.93 for Questioning and Inquiry, 0.95 for Diversity, and 0.84 for General Teaching Skills.  As all values were greater than 0.80, the categories displayed excellent internal consistency (scale reliability), justifying the use of the mean score as representative of student teachers’ observed performance within each category (</w:t>
      </w:r>
      <w:proofErr w:type="spellStart"/>
      <w:r w:rsidRPr="00D97A00">
        <w:rPr>
          <w:szCs w:val="22"/>
          <w:lang w:bidi="en-US"/>
        </w:rPr>
        <w:t>Crano</w:t>
      </w:r>
      <w:proofErr w:type="spellEnd"/>
      <w:r w:rsidRPr="00D97A00">
        <w:rPr>
          <w:szCs w:val="22"/>
          <w:lang w:bidi="en-US"/>
        </w:rPr>
        <w:t>, Brewer, &amp; Lac, 2014).</w:t>
      </w:r>
    </w:p>
    <w:p w14:paraId="10D35EF9" w14:textId="77777777" w:rsidR="00D97A00" w:rsidRPr="00D97A00" w:rsidRDefault="00D97A00" w:rsidP="00D97A00">
      <w:pPr>
        <w:keepNext/>
        <w:spacing w:line="480" w:lineRule="auto"/>
        <w:ind w:firstLine="720"/>
        <w:contextualSpacing/>
        <w:rPr>
          <w:szCs w:val="22"/>
          <w:lang w:bidi="en-US"/>
        </w:rPr>
      </w:pPr>
      <w:r w:rsidRPr="00D97A00">
        <w:rPr>
          <w:szCs w:val="22"/>
          <w:lang w:bidi="en-US"/>
        </w:rPr>
        <w:t xml:space="preserve">Statistical procedures of multivariate analysis of variance (MANOVA) were used to test the difference between the two groups of assessor – cooperating teachers and supervisors – across seven dependent variables/outcomes simultaneously.  After taking into account the values of skewness (Osborne, 2013) and large sample with equal group sample sizes (Field, 2009) the MANOVA statistical procedures used for data analysis were deemed appropriate for this study.  </w:t>
      </w:r>
    </w:p>
    <w:p w14:paraId="17EF39D2" w14:textId="77777777" w:rsidR="00D97A00" w:rsidRPr="00D97A00" w:rsidRDefault="00D97A00" w:rsidP="00D97A00">
      <w:pPr>
        <w:keepNext/>
        <w:spacing w:line="480" w:lineRule="auto"/>
        <w:ind w:firstLine="720"/>
        <w:contextualSpacing/>
        <w:rPr>
          <w:szCs w:val="22"/>
          <w:lang w:bidi="en-US"/>
        </w:rPr>
      </w:pPr>
      <w:r w:rsidRPr="00D97A00">
        <w:rPr>
          <w:szCs w:val="22"/>
          <w:lang w:bidi="en-US"/>
        </w:rPr>
        <w:t xml:space="preserve">Descriptive statistics of mean and standard deviation for the seven categories are displayed in Table 2 for both evaluator groups.  The mean scores showed a pattern of high scores for both groups though there are differences between the two groups across the categories.  Cooperating teachers’ scores were higher than supervisors’ in the categories of Lesson Planning, Lesson Assessment, Questioning and Inquiry, and Diversity.  Conversely, cooperating teachers’ scores were lower than supervisors’ in the categories of Lesson Delivery, Classroom Management and Engagement, and General Teaching Skills.  Results of data analyses indicated a significant effect of assessors on the overall evaluation of student teachers, V = .22, </w:t>
      </w:r>
      <w:r w:rsidRPr="00D97A00">
        <w:rPr>
          <w:i/>
          <w:szCs w:val="22"/>
          <w:lang w:bidi="en-US"/>
        </w:rPr>
        <w:t>F</w:t>
      </w:r>
      <w:r w:rsidRPr="00D97A00">
        <w:rPr>
          <w:szCs w:val="22"/>
          <w:lang w:bidi="en-US"/>
        </w:rPr>
        <w:t xml:space="preserve">(7, 1394) = 54.786, </w:t>
      </w:r>
      <w:r w:rsidRPr="00D97A00">
        <w:rPr>
          <w:i/>
          <w:szCs w:val="22"/>
          <w:lang w:bidi="en-US"/>
        </w:rPr>
        <w:t>p</w:t>
      </w:r>
      <w:r w:rsidRPr="00D97A00">
        <w:rPr>
          <w:szCs w:val="22"/>
          <w:lang w:bidi="en-US"/>
        </w:rPr>
        <w:t xml:space="preserve"> &lt; .05.  That is, the evaluations conducted by the cooperative teachers and supervisors differ statistically significantly with respect to the seven categories examined.  Specifically, statistically significant differences in group means were observed in four categories: Lesson Delivery, </w:t>
      </w:r>
      <w:r w:rsidRPr="00D97A00">
        <w:rPr>
          <w:i/>
          <w:szCs w:val="22"/>
          <w:lang w:bidi="en-US"/>
        </w:rPr>
        <w:t>F</w:t>
      </w:r>
      <w:r w:rsidRPr="00D97A00">
        <w:rPr>
          <w:szCs w:val="22"/>
          <w:lang w:bidi="en-US"/>
        </w:rPr>
        <w:t xml:space="preserve">(1, 1140) = 8.35, </w:t>
      </w:r>
      <w:r w:rsidRPr="00D97A00">
        <w:rPr>
          <w:i/>
          <w:szCs w:val="22"/>
          <w:lang w:bidi="en-US"/>
        </w:rPr>
        <w:t>p</w:t>
      </w:r>
      <w:r w:rsidRPr="00D97A00">
        <w:rPr>
          <w:szCs w:val="22"/>
          <w:lang w:bidi="en-US"/>
        </w:rPr>
        <w:t xml:space="preserve"> &lt; .01; Lesson Assessment, </w:t>
      </w:r>
      <w:r w:rsidRPr="00D97A00">
        <w:rPr>
          <w:i/>
          <w:szCs w:val="22"/>
          <w:lang w:bidi="en-US"/>
        </w:rPr>
        <w:t>F</w:t>
      </w:r>
      <w:r w:rsidRPr="00D97A00">
        <w:rPr>
          <w:szCs w:val="22"/>
          <w:lang w:bidi="en-US"/>
        </w:rPr>
        <w:t xml:space="preserve">(1, 1140) = 63.51, </w:t>
      </w:r>
      <w:r w:rsidRPr="00D97A00">
        <w:rPr>
          <w:i/>
          <w:szCs w:val="22"/>
          <w:lang w:bidi="en-US"/>
        </w:rPr>
        <w:t>p</w:t>
      </w:r>
      <w:r w:rsidRPr="00D97A00">
        <w:rPr>
          <w:szCs w:val="22"/>
          <w:lang w:bidi="en-US"/>
        </w:rPr>
        <w:t xml:space="preserve"> &lt; .01; Classroom Management and Engagement, </w:t>
      </w:r>
      <w:r w:rsidRPr="00D97A00">
        <w:rPr>
          <w:i/>
          <w:szCs w:val="22"/>
          <w:lang w:bidi="en-US"/>
        </w:rPr>
        <w:t>F</w:t>
      </w:r>
      <w:r w:rsidRPr="00D97A00">
        <w:rPr>
          <w:szCs w:val="22"/>
          <w:lang w:bidi="en-US"/>
        </w:rPr>
        <w:t xml:space="preserve">(1, 1140) = 8.00, </w:t>
      </w:r>
      <w:r w:rsidRPr="00D97A00">
        <w:rPr>
          <w:i/>
          <w:szCs w:val="22"/>
          <w:lang w:bidi="en-US"/>
        </w:rPr>
        <w:t xml:space="preserve">p </w:t>
      </w:r>
      <w:r w:rsidRPr="00D97A00">
        <w:rPr>
          <w:szCs w:val="22"/>
          <w:lang w:bidi="en-US"/>
        </w:rPr>
        <w:t xml:space="preserve">&lt; 0.01, and Diversity, </w:t>
      </w:r>
      <w:r w:rsidRPr="00D97A00">
        <w:rPr>
          <w:i/>
          <w:szCs w:val="22"/>
          <w:lang w:bidi="en-US"/>
        </w:rPr>
        <w:t>F</w:t>
      </w:r>
      <w:r w:rsidRPr="00D97A00">
        <w:rPr>
          <w:szCs w:val="22"/>
          <w:lang w:bidi="en-US"/>
        </w:rPr>
        <w:t xml:space="preserve">(1, 1140) = 36.452, </w:t>
      </w:r>
      <w:r w:rsidRPr="00D97A00">
        <w:rPr>
          <w:i/>
          <w:szCs w:val="22"/>
          <w:lang w:bidi="en-US"/>
        </w:rPr>
        <w:t>p</w:t>
      </w:r>
      <w:r w:rsidRPr="00D97A00">
        <w:rPr>
          <w:szCs w:val="22"/>
          <w:lang w:bidi="en-US"/>
        </w:rPr>
        <w:t xml:space="preserve"> &lt; .01.  The Lesson Planning, Questioning and Inquiry, and General Teaching Skills categories had no statistically significant differences between the two assessors.</w:t>
      </w:r>
    </w:p>
    <w:p w14:paraId="4F89EC14" w14:textId="77777777" w:rsidR="00D97A00" w:rsidRPr="00D97A00" w:rsidRDefault="00D97A00" w:rsidP="00D97A00">
      <w:pPr>
        <w:keepNext/>
        <w:spacing w:line="480" w:lineRule="auto"/>
        <w:ind w:firstLine="720"/>
        <w:contextualSpacing/>
        <w:rPr>
          <w:b/>
          <w:szCs w:val="22"/>
          <w:lang w:bidi="en-US"/>
        </w:rPr>
      </w:pPr>
      <w:r w:rsidRPr="00D97A00">
        <w:rPr>
          <w:szCs w:val="22"/>
          <w:lang w:bidi="en-US"/>
        </w:rPr>
        <w:t xml:space="preserve">As interpretation based solely on statistical significance testing is notoriously problematic, the </w:t>
      </w:r>
      <w:r w:rsidRPr="00D97A00">
        <w:rPr>
          <w:i/>
          <w:szCs w:val="22"/>
          <w:lang w:bidi="en-US"/>
        </w:rPr>
        <w:t>η</w:t>
      </w:r>
      <w:r w:rsidRPr="00D97A00">
        <w:rPr>
          <w:i/>
          <w:szCs w:val="22"/>
          <w:vertAlign w:val="superscript"/>
          <w:lang w:bidi="en-US"/>
        </w:rPr>
        <w:t xml:space="preserve">2 </w:t>
      </w:r>
      <w:r w:rsidRPr="00D97A00">
        <w:rPr>
          <w:szCs w:val="22"/>
          <w:lang w:bidi="en-US"/>
        </w:rPr>
        <w:t xml:space="preserve">(eta squared) effect sizes were consulted in the interpretation of our results (Henson, 2006).  The </w:t>
      </w:r>
      <w:r w:rsidRPr="00D97A00">
        <w:rPr>
          <w:i/>
          <w:szCs w:val="22"/>
          <w:lang w:bidi="en-US"/>
        </w:rPr>
        <w:t>η</w:t>
      </w:r>
      <w:r w:rsidRPr="00D97A00">
        <w:rPr>
          <w:i/>
          <w:szCs w:val="22"/>
          <w:vertAlign w:val="superscript"/>
          <w:lang w:bidi="en-US"/>
        </w:rPr>
        <w:t>2</w:t>
      </w:r>
      <w:r w:rsidRPr="00D97A00">
        <w:rPr>
          <w:szCs w:val="22"/>
          <w:lang w:bidi="en-US"/>
        </w:rPr>
        <w:t xml:space="preserve"> for the statistically significant differences were 0.006 for Lesson Delivery, 0.043 for Lesson Assessment, 0.006 for Classroom Management and Engagement, and 0.025 for Diversity.  Thus, the effect sizes for the Lesson Delivery and Classroom Management and Engagement categories were so small as to be negligible (Field, 2009).  The only two categories for which the differences between cooperating teachers’ ratings and supervisors’ ratings were both statistically significant and of any practical importance were Lesson Assessment and Diversity.  In both these categories, the cooperating teachers tended to rate student teachers more highly than supervisors.  Based on the modest effect sizes in these categories, 4.3% of the variance in the Lesson Assessment scores and 2.5% of the variance in the Diversity scores could be explained by the evaluators’ role.    </w:t>
      </w:r>
    </w:p>
    <w:p w14:paraId="79329D58" w14:textId="77777777" w:rsidR="00D97A00" w:rsidRPr="00D97A00" w:rsidRDefault="00D97A00" w:rsidP="00D97A00">
      <w:pPr>
        <w:keepNext/>
        <w:spacing w:line="480" w:lineRule="auto"/>
        <w:contextualSpacing/>
        <w:jc w:val="center"/>
        <w:rPr>
          <w:b/>
          <w:szCs w:val="22"/>
          <w:lang w:bidi="en-US"/>
        </w:rPr>
      </w:pPr>
      <w:r w:rsidRPr="00D97A00">
        <w:rPr>
          <w:b/>
          <w:szCs w:val="22"/>
          <w:lang w:bidi="en-US"/>
        </w:rPr>
        <w:t>Discussion</w:t>
      </w:r>
    </w:p>
    <w:p w14:paraId="25CB3042" w14:textId="77777777" w:rsidR="00D97A00" w:rsidRPr="00D97A00" w:rsidRDefault="00D97A00" w:rsidP="00D97A00">
      <w:pPr>
        <w:keepNext/>
        <w:spacing w:line="480" w:lineRule="auto"/>
        <w:ind w:firstLine="720"/>
        <w:contextualSpacing/>
        <w:rPr>
          <w:szCs w:val="22"/>
          <w:lang w:bidi="en-US"/>
        </w:rPr>
      </w:pPr>
      <w:r w:rsidRPr="00D97A00">
        <w:rPr>
          <w:lang w:bidi="en-US"/>
        </w:rPr>
        <w:t xml:space="preserve">The aim of this study was to investigate if cooperating teachers rated student teachers differently than did supervisors and to examine if there were specific areas of the evaluation in which they tended to differ.  In answer to our first research question, we did find that cooperating teachers’ ratings differed from those of supervisors’, consistent with our hypothesis and the work of </w:t>
      </w:r>
      <w:proofErr w:type="spellStart"/>
      <w:r w:rsidRPr="00D97A00">
        <w:rPr>
          <w:lang w:bidi="en-US"/>
        </w:rPr>
        <w:t>Ziv</w:t>
      </w:r>
      <w:proofErr w:type="spellEnd"/>
      <w:r w:rsidRPr="00D97A00">
        <w:rPr>
          <w:lang w:bidi="en-US"/>
        </w:rPr>
        <w:t xml:space="preserve"> et al. (1993).  In regard to our second research question there were two categories for which the differences between the two group’s ratings were statistically significantly different (</w:t>
      </w:r>
      <w:r w:rsidRPr="00D97A00">
        <w:rPr>
          <w:i/>
          <w:lang w:bidi="en-US"/>
        </w:rPr>
        <w:t>p</w:t>
      </w:r>
      <w:r w:rsidRPr="00D97A00">
        <w:rPr>
          <w:lang w:bidi="en-US"/>
        </w:rPr>
        <w:t xml:space="preserve"> &lt; .05) and of noteworthy effect size.  In both, cooperating teachers tended to rate student teachers more highly than supervisors.  Thus, our findings partially support </w:t>
      </w:r>
      <w:proofErr w:type="spellStart"/>
      <w:r w:rsidRPr="00D97A00">
        <w:rPr>
          <w:lang w:bidi="en-US"/>
        </w:rPr>
        <w:t>Ziv</w:t>
      </w:r>
      <w:proofErr w:type="spellEnd"/>
      <w:r w:rsidRPr="00D97A00">
        <w:rPr>
          <w:lang w:bidi="en-US"/>
        </w:rPr>
        <w:t xml:space="preserve"> et al.’s findings that cooperating teachers overall rate student teachers more highly than supervisors.  However, our results suggest that this trend does not hold true for all of the areas within the instrument of our research.  Our findings support our hypothesis and previous findings (</w:t>
      </w:r>
      <w:proofErr w:type="spellStart"/>
      <w:r w:rsidRPr="00D97A00">
        <w:rPr>
          <w:lang w:bidi="en-US"/>
        </w:rPr>
        <w:t>Brucklacher</w:t>
      </w:r>
      <w:proofErr w:type="spellEnd"/>
      <w:r w:rsidRPr="00D97A00">
        <w:rPr>
          <w:lang w:bidi="en-US"/>
        </w:rPr>
        <w:t>, 1998; Phelps, Schmitz, &amp; Boatright, 1986) that cooperating teachers’ scores may not be objective and</w:t>
      </w:r>
      <w:r w:rsidRPr="00D97A00">
        <w:rPr>
          <w:szCs w:val="22"/>
          <w:lang w:bidi="en-US"/>
        </w:rPr>
        <w:t xml:space="preserve"> suffer from inflation, as evidenced by mean scores around 5 (Above Average) in all areas.  However, the supervisors in this study also gave high scores across the board, again with all categories having a mean score of about 5.  Thus, our findings contradict the view that supervisors are more objective evaluators of student teachers (</w:t>
      </w:r>
      <w:proofErr w:type="spellStart"/>
      <w:r w:rsidRPr="00D97A00">
        <w:rPr>
          <w:szCs w:val="22"/>
          <w:lang w:bidi="en-US"/>
        </w:rPr>
        <w:t>Ziv</w:t>
      </w:r>
      <w:proofErr w:type="spellEnd"/>
      <w:r w:rsidRPr="00D97A00">
        <w:rPr>
          <w:szCs w:val="22"/>
          <w:lang w:bidi="en-US"/>
        </w:rPr>
        <w:t xml:space="preserve"> et al., 1993) and instead support the assertion that both cooperating teachers and supervisors allow biases to interfere with their objectivity when evaluating student teachers (Strong et al., 2011).  </w:t>
      </w:r>
    </w:p>
    <w:p w14:paraId="7F070E0B" w14:textId="77777777" w:rsidR="00D97A00" w:rsidRPr="00D97A00" w:rsidRDefault="00D97A00" w:rsidP="00D97A00">
      <w:pPr>
        <w:keepNext/>
        <w:spacing w:line="480" w:lineRule="auto"/>
        <w:ind w:firstLine="720"/>
        <w:contextualSpacing/>
        <w:rPr>
          <w:szCs w:val="22"/>
          <w:lang w:bidi="en-US"/>
        </w:rPr>
      </w:pPr>
      <w:r w:rsidRPr="00D97A00">
        <w:rPr>
          <w:szCs w:val="22"/>
          <w:lang w:bidi="en-US"/>
        </w:rPr>
        <w:t xml:space="preserve">In the literature review section, we introduced factors that might contribute to biases and score inflation among both cooperating teachers and supervisors.  Many of these proposed reasons, such as the culture of high grades in the field of education, the supportive relationship between student teachers and evaluators, and the quality of the instrument, could apply to both evaluators in our study.  Lack of training in supervisory responsibilities, often cited in the literature, would apply particularly to the cooperating teachers in this study, whose training was left up to the supervisors.  This lack of training to make objective judgments may have introduced error into cooperating teacher evaluations, but due to the large number of supervisors involved, it is unlikely to have done so in any systematic way.  However, the presence of two categories in which cooperating teachers systematically rated student teachers more highly than supervisors suggests that cooperating teachers might have made deliberate judgments while evaluating Lesson Assessment and Diversity, based on factors discussed below unique to the cooperating teachers’ observation of activities within these categories. </w:t>
      </w:r>
    </w:p>
    <w:p w14:paraId="4CB2B36E" w14:textId="77777777" w:rsidR="00D97A00" w:rsidRPr="00D97A00" w:rsidRDefault="00D97A00" w:rsidP="00D97A00">
      <w:pPr>
        <w:keepNext/>
        <w:spacing w:line="480" w:lineRule="auto"/>
        <w:ind w:firstLine="720"/>
        <w:contextualSpacing/>
        <w:rPr>
          <w:szCs w:val="22"/>
          <w:lang w:bidi="en-US"/>
        </w:rPr>
      </w:pPr>
      <w:r w:rsidRPr="00D97A00">
        <w:rPr>
          <w:szCs w:val="22"/>
          <w:lang w:bidi="en-US"/>
        </w:rPr>
        <w:t xml:space="preserve">The first factor was that cooperating teachers observed student teachers over the entire semester.  Thus, their conception of assessment likely included global summative assessments such as benchmark exams, unit tests, or large projects.  It is possible that such summative assessments displayed greater alignment between activities, objectives and state standards than the four individual, likely formative, lesson assessments that supervisors observed, leading to higher scores among cooperating teachers.  Furthermore, cooperating teachers had more opportunities to observe responses to student diversity, likely leading to higher scores in these categories as well.  A second factor was that the cooperating teachers knew the curriculum as well as the students in the classroom better than the supervisors.  Cooperating teachers might have recognized alignment between activities, objectives, state standards, and assessment that supervisors missed.  Additionally, knowing both the visible and invisible diversity of the students in their classroom, cooperating teachers might have spotted more and nuanced responses to students’ specific needs that supervisors did not.  </w:t>
      </w:r>
    </w:p>
    <w:p w14:paraId="7E9A717A" w14:textId="77777777" w:rsidR="00D97A00" w:rsidRPr="00D97A00" w:rsidRDefault="00D97A00" w:rsidP="00D97A00">
      <w:pPr>
        <w:keepNext/>
        <w:spacing w:line="480" w:lineRule="auto"/>
        <w:ind w:firstLine="720"/>
        <w:contextualSpacing/>
        <w:rPr>
          <w:szCs w:val="22"/>
          <w:lang w:bidi="en-US"/>
        </w:rPr>
      </w:pPr>
      <w:r w:rsidRPr="00D97A00">
        <w:rPr>
          <w:szCs w:val="22"/>
          <w:lang w:bidi="en-US"/>
        </w:rPr>
        <w:t xml:space="preserve">A further consideration within the assessment category is that the assessments used by student teachers might have belonged to the cooperating teachers (Valencia et al., 2009), particularly if the cooperating teachers’ idea of assessment included summative assessments.  Thus, the higher scores in this category might represent the cooperating teachers’ higher judgment of their own work, rather than the student teachers’ ability to design assessments.  Finally, in regards to the diversity category, the cooperating teachers understood the challenge of teaching this particular group of students better than the supervisors.  Therefore, they might have had greater appreciation for any responses to student diversity on the part of the student teachers and been less critical of the student teachers’ performance.  </w:t>
      </w:r>
    </w:p>
    <w:p w14:paraId="06005274" w14:textId="77777777" w:rsidR="00D97A00" w:rsidRPr="00D97A00" w:rsidRDefault="00D97A00" w:rsidP="00D97A00">
      <w:pPr>
        <w:keepNext/>
        <w:spacing w:line="480" w:lineRule="auto"/>
        <w:contextualSpacing/>
        <w:rPr>
          <w:szCs w:val="22"/>
          <w:lang w:bidi="en-US"/>
        </w:rPr>
      </w:pPr>
      <w:r w:rsidRPr="00D97A00">
        <w:rPr>
          <w:szCs w:val="22"/>
          <w:lang w:bidi="en-US"/>
        </w:rPr>
        <w:tab/>
        <w:t xml:space="preserve">The remaining categories of the instrument contained no practically important differences between cooperating teachers and supervisors, suggesting that the two groups of evaluators did not make systematically different judgments in these categories.  Most of these categories – Lesson Delivery, Classroom Management and Engagement, Questioning and Inquiry, General Teaching Skills – focus on prototypical teaching behaviors that are easily observed during the course of lesson delivery.  These areas that focus on the visible output of teaching might have been less sensitive to the cooperating teachers’ background knowledge, meaning that the four observations conducted by supervisors were an adequate sample of student teachers’ behavior.  The lack of practically important differences in the categories of Lesson Planning was harder to explain; as this area focuses on activities student teachers would engage in outside of supervisors’ observation.  However, while supervisors might not have observed the student teachers’ planning, they did view the result of the planning during lesson delivery. </w:t>
      </w:r>
    </w:p>
    <w:p w14:paraId="5567ECCE" w14:textId="77777777" w:rsidR="00D97A00" w:rsidRPr="00D97A00" w:rsidRDefault="00D97A00" w:rsidP="00B97E97">
      <w:pPr>
        <w:keepNext/>
        <w:spacing w:line="480" w:lineRule="auto"/>
        <w:contextualSpacing/>
        <w:jc w:val="center"/>
        <w:rPr>
          <w:b/>
          <w:szCs w:val="22"/>
          <w:lang w:bidi="en-US"/>
        </w:rPr>
      </w:pPr>
      <w:r w:rsidRPr="00D97A00">
        <w:rPr>
          <w:b/>
          <w:szCs w:val="22"/>
          <w:lang w:bidi="en-US"/>
        </w:rPr>
        <w:t>Limitations and Future Study</w:t>
      </w:r>
    </w:p>
    <w:p w14:paraId="0EF46B50" w14:textId="77777777" w:rsidR="00D97A00" w:rsidRPr="00D97A00" w:rsidRDefault="00D97A00" w:rsidP="00D97A00">
      <w:pPr>
        <w:keepNext/>
        <w:spacing w:line="480" w:lineRule="auto"/>
        <w:ind w:firstLine="720"/>
        <w:contextualSpacing/>
        <w:rPr>
          <w:szCs w:val="22"/>
          <w:lang w:bidi="en-US"/>
        </w:rPr>
      </w:pPr>
      <w:r w:rsidRPr="00D97A00">
        <w:rPr>
          <w:szCs w:val="22"/>
          <w:lang w:bidi="en-US"/>
        </w:rPr>
        <w:t xml:space="preserve">This study had a higher number of participants in the high-school or middle-school settings than those in elementary school settings; therefore, these results should be interpreted with caution when applied to student teachers in the elementary school setting.  Future studies could expand the participant pool to include a more equitable distribution of cooperating teachers at each grade level, allowing for comparisons of the evaluation tendencies between cooperating teachers at different grade levels as well as between cooperating teachers and supervisors.  Another limitation of this study is the use of the ACT instrument, which does not possess an extensive body of validation evidence.  Future research in this area could begin with using independently collected samples and/or replicating the study by Dixon-Krauss et al. (2011) to further confirm the factor structure of the instrument.  Additionally, alternative evaluation instruments could be utilized to determine whether the noted differences between the two groups of assessors hold.  Future research should also examine if better training cooperating teachers and supervisors to maintain objectivity while implementing objectives-based evaluation would reduce possible score inflation among both groups, as suggested by </w:t>
      </w:r>
      <w:proofErr w:type="spellStart"/>
      <w:r w:rsidRPr="00D97A00">
        <w:rPr>
          <w:szCs w:val="22"/>
          <w:lang w:bidi="en-US"/>
        </w:rPr>
        <w:t>Gareis</w:t>
      </w:r>
      <w:proofErr w:type="spellEnd"/>
      <w:r w:rsidRPr="00D97A00">
        <w:rPr>
          <w:szCs w:val="22"/>
          <w:lang w:bidi="en-US"/>
        </w:rPr>
        <w:t xml:space="preserve"> and Grant’s (2014) research, as well as whether the differences we have observed in this study would persist after training.  Such research would benefit from additional qualitative sources of evidence, allowing for an in-depth exploration of the reasons behind any observed differences.  Finally, an additional area of interest is whether the patterns and differences observed here are limited to the summative evaluations included in this study, or if they might also be observed when cooperating teachers and supervisors completed the same formative assessments. </w:t>
      </w:r>
    </w:p>
    <w:p w14:paraId="51C592AF" w14:textId="77777777" w:rsidR="00D97A00" w:rsidRPr="00D97A00" w:rsidRDefault="00D97A00" w:rsidP="00D97A00">
      <w:pPr>
        <w:keepNext/>
        <w:spacing w:line="480" w:lineRule="auto"/>
        <w:contextualSpacing/>
        <w:jc w:val="center"/>
        <w:rPr>
          <w:b/>
          <w:szCs w:val="22"/>
          <w:lang w:bidi="en-US"/>
        </w:rPr>
      </w:pPr>
      <w:r w:rsidRPr="00D97A00">
        <w:rPr>
          <w:b/>
          <w:szCs w:val="22"/>
          <w:lang w:bidi="en-US"/>
        </w:rPr>
        <w:t>Conclusion</w:t>
      </w:r>
    </w:p>
    <w:p w14:paraId="23992D60" w14:textId="77777777" w:rsidR="00D97A00" w:rsidRPr="00D97A00" w:rsidRDefault="00D97A00" w:rsidP="00D97A00">
      <w:pPr>
        <w:keepNext/>
        <w:spacing w:line="480" w:lineRule="auto"/>
        <w:ind w:firstLine="720"/>
        <w:contextualSpacing/>
        <w:rPr>
          <w:szCs w:val="22"/>
          <w:lang w:bidi="en-US"/>
        </w:rPr>
      </w:pPr>
      <w:r w:rsidRPr="00D97A00">
        <w:rPr>
          <w:szCs w:val="22"/>
          <w:lang w:bidi="en-US"/>
        </w:rPr>
        <w:t xml:space="preserve">This study sought to determine whether cooperating teachers tended to rate the performance of student teachers differently than supervisors, and if there were specific areas in which the cooperating teachers rated the student teachers more highly.  To our knowledge this was the first study to test differences between cooperating teachers’ and supervisors’ evaluations across the board as well as within specific categories of an evaluation instrument.  Our initial hypotheses were that cooperating teachers’ scores would differ from supervisors’ scores and that the cooperating teachers’ scores would be higher than supervisors’ in all categories.  However, we found that while cooperating teachers and supervisors did rate student teachers differently, cooperating teachers’ scores were statistically significantly and modestly higher in only two categories – Assessment and Diversity - and in general, both groups tended to rate the student teachers very highly.  Group differences between the scores of supervisors and cooperating teachers in the areas of assessment and responses to student diversity, even in the face of high-scores across the board, suggests that cooperating teachers might have different expectations in these specific areas, different understandings of what these areas assess, or a “better view” of these activities than supervisors have.  Our study demonstrates the need to engage our public school partners in the student teaching experience in order to reach consensus and consistency between cooperating teachers and supervisors. However, the ultimate purpose of student teacher evaluation is to ensure competent teachers enter the profession.  This study calls into question whether evaluations conducted by either supervisors or cooperating teachers are objective and able to identify effective student teachers.  While the tendency towards high scores on student teacher evaluations have been observed before, it must continue to be brought to the attention of the teacher education field.  EPPs must develop practices that engage both supervisors and cooperating teachers in an objective evaluation process.  </w:t>
      </w:r>
    </w:p>
    <w:p w14:paraId="466E81A2" w14:textId="77777777" w:rsidR="006C226F" w:rsidRDefault="006C226F" w:rsidP="00B97E97">
      <w:pPr>
        <w:spacing w:line="480" w:lineRule="auto"/>
        <w:jc w:val="center"/>
        <w:rPr>
          <w:b/>
          <w:szCs w:val="22"/>
          <w:lang w:bidi="en-US"/>
        </w:rPr>
      </w:pPr>
    </w:p>
    <w:p w14:paraId="187001D0" w14:textId="77777777" w:rsidR="006C226F" w:rsidRDefault="006C226F" w:rsidP="00B97E97">
      <w:pPr>
        <w:spacing w:line="480" w:lineRule="auto"/>
        <w:jc w:val="center"/>
        <w:rPr>
          <w:b/>
          <w:szCs w:val="22"/>
          <w:lang w:bidi="en-US"/>
        </w:rPr>
      </w:pPr>
    </w:p>
    <w:p w14:paraId="1C0259DD" w14:textId="77777777" w:rsidR="006C226F" w:rsidRDefault="006C226F" w:rsidP="00B97E97">
      <w:pPr>
        <w:spacing w:line="480" w:lineRule="auto"/>
        <w:jc w:val="center"/>
        <w:rPr>
          <w:b/>
          <w:szCs w:val="22"/>
          <w:lang w:bidi="en-US"/>
        </w:rPr>
      </w:pPr>
    </w:p>
    <w:p w14:paraId="213E29D6" w14:textId="77777777" w:rsidR="006C226F" w:rsidRDefault="006C226F" w:rsidP="00B97E97">
      <w:pPr>
        <w:spacing w:line="480" w:lineRule="auto"/>
        <w:jc w:val="center"/>
        <w:rPr>
          <w:b/>
          <w:szCs w:val="22"/>
          <w:lang w:bidi="en-US"/>
        </w:rPr>
      </w:pPr>
    </w:p>
    <w:p w14:paraId="68D7B335" w14:textId="77777777" w:rsidR="006C226F" w:rsidRDefault="006C226F" w:rsidP="00B97E97">
      <w:pPr>
        <w:spacing w:line="480" w:lineRule="auto"/>
        <w:jc w:val="center"/>
        <w:rPr>
          <w:b/>
          <w:szCs w:val="22"/>
          <w:lang w:bidi="en-US"/>
        </w:rPr>
      </w:pPr>
    </w:p>
    <w:p w14:paraId="3602E87F" w14:textId="77777777" w:rsidR="006C226F" w:rsidRDefault="006C226F" w:rsidP="00B97E97">
      <w:pPr>
        <w:spacing w:line="480" w:lineRule="auto"/>
        <w:jc w:val="center"/>
        <w:rPr>
          <w:b/>
          <w:szCs w:val="22"/>
          <w:lang w:bidi="en-US"/>
        </w:rPr>
      </w:pPr>
    </w:p>
    <w:p w14:paraId="289E2DB9" w14:textId="77777777" w:rsidR="006C226F" w:rsidRDefault="006C226F" w:rsidP="00B97E97">
      <w:pPr>
        <w:spacing w:line="480" w:lineRule="auto"/>
        <w:jc w:val="center"/>
        <w:rPr>
          <w:b/>
          <w:szCs w:val="22"/>
          <w:lang w:bidi="en-US"/>
        </w:rPr>
      </w:pPr>
    </w:p>
    <w:p w14:paraId="574CE706" w14:textId="77777777" w:rsidR="006C226F" w:rsidRDefault="006C226F" w:rsidP="00B97E97">
      <w:pPr>
        <w:spacing w:line="480" w:lineRule="auto"/>
        <w:jc w:val="center"/>
        <w:rPr>
          <w:b/>
          <w:szCs w:val="22"/>
          <w:lang w:bidi="en-US"/>
        </w:rPr>
      </w:pPr>
    </w:p>
    <w:p w14:paraId="3C47C2B2" w14:textId="77777777" w:rsidR="006C226F" w:rsidRDefault="006C226F" w:rsidP="00B97E97">
      <w:pPr>
        <w:spacing w:line="480" w:lineRule="auto"/>
        <w:jc w:val="center"/>
        <w:rPr>
          <w:b/>
          <w:szCs w:val="22"/>
          <w:lang w:bidi="en-US"/>
        </w:rPr>
      </w:pPr>
    </w:p>
    <w:p w14:paraId="280507A0" w14:textId="77777777" w:rsidR="006C226F" w:rsidRDefault="006C226F" w:rsidP="00B97E97">
      <w:pPr>
        <w:spacing w:line="480" w:lineRule="auto"/>
        <w:jc w:val="center"/>
        <w:rPr>
          <w:b/>
          <w:szCs w:val="22"/>
          <w:lang w:bidi="en-US"/>
        </w:rPr>
      </w:pPr>
    </w:p>
    <w:p w14:paraId="64023A3F" w14:textId="77777777" w:rsidR="006C226F" w:rsidRDefault="006C226F" w:rsidP="00B97E97">
      <w:pPr>
        <w:spacing w:line="480" w:lineRule="auto"/>
        <w:jc w:val="center"/>
        <w:rPr>
          <w:b/>
          <w:szCs w:val="22"/>
          <w:lang w:bidi="en-US"/>
        </w:rPr>
      </w:pPr>
    </w:p>
    <w:p w14:paraId="44817AC6" w14:textId="77777777" w:rsidR="006C226F" w:rsidRDefault="006C226F" w:rsidP="00B97E97">
      <w:pPr>
        <w:spacing w:line="480" w:lineRule="auto"/>
        <w:jc w:val="center"/>
        <w:rPr>
          <w:b/>
          <w:szCs w:val="22"/>
          <w:lang w:bidi="en-US"/>
        </w:rPr>
      </w:pPr>
    </w:p>
    <w:p w14:paraId="364FC962" w14:textId="77777777" w:rsidR="006C226F" w:rsidRDefault="006C226F" w:rsidP="00B97E97">
      <w:pPr>
        <w:spacing w:line="480" w:lineRule="auto"/>
        <w:jc w:val="center"/>
        <w:rPr>
          <w:b/>
          <w:szCs w:val="22"/>
          <w:lang w:bidi="en-US"/>
        </w:rPr>
      </w:pPr>
    </w:p>
    <w:p w14:paraId="2DED8B12" w14:textId="77777777" w:rsidR="006C226F" w:rsidRDefault="006C226F" w:rsidP="00B97E97">
      <w:pPr>
        <w:spacing w:line="480" w:lineRule="auto"/>
        <w:jc w:val="center"/>
        <w:rPr>
          <w:b/>
          <w:szCs w:val="22"/>
          <w:lang w:bidi="en-US"/>
        </w:rPr>
      </w:pPr>
    </w:p>
    <w:p w14:paraId="0CFCFC8C" w14:textId="77777777" w:rsidR="006C226F" w:rsidRDefault="006C226F" w:rsidP="00B97E97">
      <w:pPr>
        <w:spacing w:line="480" w:lineRule="auto"/>
        <w:jc w:val="center"/>
        <w:rPr>
          <w:b/>
          <w:szCs w:val="22"/>
          <w:lang w:bidi="en-US"/>
        </w:rPr>
      </w:pPr>
    </w:p>
    <w:p w14:paraId="60713384" w14:textId="77777777" w:rsidR="006C226F" w:rsidRDefault="006C226F" w:rsidP="00B97E97">
      <w:pPr>
        <w:spacing w:line="480" w:lineRule="auto"/>
        <w:jc w:val="center"/>
        <w:rPr>
          <w:b/>
          <w:szCs w:val="22"/>
          <w:lang w:bidi="en-US"/>
        </w:rPr>
      </w:pPr>
    </w:p>
    <w:p w14:paraId="71D232AE" w14:textId="77777777" w:rsidR="006C226F" w:rsidRDefault="006C226F" w:rsidP="00B97E97">
      <w:pPr>
        <w:spacing w:line="480" w:lineRule="auto"/>
        <w:jc w:val="center"/>
        <w:rPr>
          <w:b/>
          <w:szCs w:val="22"/>
          <w:lang w:bidi="en-US"/>
        </w:rPr>
      </w:pPr>
    </w:p>
    <w:p w14:paraId="27EF3459" w14:textId="77777777" w:rsidR="006C226F" w:rsidRDefault="006C226F" w:rsidP="00B97E97">
      <w:pPr>
        <w:spacing w:line="480" w:lineRule="auto"/>
        <w:jc w:val="center"/>
        <w:rPr>
          <w:b/>
          <w:szCs w:val="22"/>
          <w:lang w:bidi="en-US"/>
        </w:rPr>
      </w:pPr>
    </w:p>
    <w:p w14:paraId="1EB80CFB" w14:textId="77777777" w:rsidR="006C226F" w:rsidRDefault="006C226F" w:rsidP="00B97E97">
      <w:pPr>
        <w:spacing w:line="480" w:lineRule="auto"/>
        <w:jc w:val="center"/>
        <w:rPr>
          <w:b/>
          <w:szCs w:val="22"/>
          <w:lang w:bidi="en-US"/>
        </w:rPr>
      </w:pPr>
    </w:p>
    <w:p w14:paraId="15D6BA13" w14:textId="77777777" w:rsidR="006C226F" w:rsidRDefault="006C226F" w:rsidP="00B97E97">
      <w:pPr>
        <w:spacing w:line="480" w:lineRule="auto"/>
        <w:jc w:val="center"/>
        <w:rPr>
          <w:b/>
          <w:szCs w:val="22"/>
          <w:lang w:bidi="en-US"/>
        </w:rPr>
      </w:pPr>
    </w:p>
    <w:p w14:paraId="69AD29EA" w14:textId="77777777" w:rsidR="006C226F" w:rsidRPr="006C226F" w:rsidRDefault="006C226F" w:rsidP="006C226F">
      <w:pPr>
        <w:rPr>
          <w:rFonts w:eastAsia="Calibri"/>
          <w:b/>
        </w:rPr>
      </w:pPr>
      <w:r w:rsidRPr="006C226F">
        <w:rPr>
          <w:rFonts w:eastAsia="Calibri"/>
          <w:b/>
        </w:rPr>
        <w:t>Table 1</w:t>
      </w:r>
    </w:p>
    <w:tbl>
      <w:tblPr>
        <w:tblStyle w:val="TableGridLight1"/>
        <w:tblW w:w="517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9"/>
        <w:gridCol w:w="1351"/>
        <w:gridCol w:w="5538"/>
      </w:tblGrid>
      <w:tr w:rsidR="006C226F" w:rsidRPr="006C226F" w14:paraId="1F44B1B8" w14:textId="77777777" w:rsidTr="00C93D65">
        <w:trPr>
          <w:trHeight w:val="144"/>
        </w:trPr>
        <w:tc>
          <w:tcPr>
            <w:tcW w:w="5000" w:type="pct"/>
            <w:gridSpan w:val="3"/>
            <w:tcBorders>
              <w:bottom w:val="single" w:sz="4" w:space="0" w:color="auto"/>
            </w:tcBorders>
          </w:tcPr>
          <w:p w14:paraId="332DECFF" w14:textId="77777777" w:rsidR="006C226F" w:rsidRPr="006C226F" w:rsidRDefault="006C226F" w:rsidP="006C226F">
            <w:pPr>
              <w:rPr>
                <w:i/>
              </w:rPr>
            </w:pPr>
          </w:p>
          <w:p w14:paraId="03E9B733" w14:textId="77777777" w:rsidR="006C226F" w:rsidRPr="006C226F" w:rsidRDefault="006C226F" w:rsidP="006C226F">
            <w:pPr>
              <w:ind w:left="-108"/>
              <w:rPr>
                <w:i/>
              </w:rPr>
            </w:pPr>
            <w:r w:rsidRPr="006C226F">
              <w:rPr>
                <w:i/>
              </w:rPr>
              <w:t>Number of Items and Content Description of Each Category on the ACT</w:t>
            </w:r>
          </w:p>
          <w:p w14:paraId="3825DAB9" w14:textId="77777777" w:rsidR="006C226F" w:rsidRPr="006C226F" w:rsidRDefault="006C226F" w:rsidP="006C226F">
            <w:pPr>
              <w:rPr>
                <w:i/>
              </w:rPr>
            </w:pPr>
          </w:p>
        </w:tc>
      </w:tr>
      <w:tr w:rsidR="006C226F" w:rsidRPr="006C226F" w14:paraId="6C27F44B" w14:textId="77777777" w:rsidTr="00C93D65">
        <w:trPr>
          <w:trHeight w:val="144"/>
        </w:trPr>
        <w:tc>
          <w:tcPr>
            <w:tcW w:w="1441" w:type="pct"/>
            <w:tcBorders>
              <w:top w:val="single" w:sz="4" w:space="0" w:color="auto"/>
              <w:bottom w:val="single" w:sz="4" w:space="0" w:color="auto"/>
            </w:tcBorders>
          </w:tcPr>
          <w:p w14:paraId="29629066" w14:textId="77777777" w:rsidR="006C226F" w:rsidRPr="006C226F" w:rsidRDefault="006C226F" w:rsidP="006C226F">
            <w:pPr>
              <w:contextualSpacing/>
            </w:pPr>
          </w:p>
        </w:tc>
        <w:tc>
          <w:tcPr>
            <w:tcW w:w="698" w:type="pct"/>
            <w:tcBorders>
              <w:top w:val="single" w:sz="4" w:space="0" w:color="auto"/>
              <w:bottom w:val="single" w:sz="4" w:space="0" w:color="auto"/>
            </w:tcBorders>
          </w:tcPr>
          <w:p w14:paraId="454A6781" w14:textId="77777777" w:rsidR="006C226F" w:rsidRPr="006C226F" w:rsidRDefault="006C226F" w:rsidP="006C226F">
            <w:pPr>
              <w:contextualSpacing/>
              <w:jc w:val="center"/>
            </w:pPr>
            <w:r w:rsidRPr="006C226F">
              <w:t>Number of Items</w:t>
            </w:r>
          </w:p>
        </w:tc>
        <w:tc>
          <w:tcPr>
            <w:tcW w:w="2861" w:type="pct"/>
            <w:tcBorders>
              <w:top w:val="single" w:sz="4" w:space="0" w:color="auto"/>
              <w:bottom w:val="single" w:sz="4" w:space="0" w:color="auto"/>
            </w:tcBorders>
          </w:tcPr>
          <w:p w14:paraId="5271A085" w14:textId="77777777" w:rsidR="006C226F" w:rsidRPr="006C226F" w:rsidRDefault="006C226F" w:rsidP="006C226F">
            <w:pPr>
              <w:contextualSpacing/>
              <w:jc w:val="center"/>
            </w:pPr>
            <w:r w:rsidRPr="006C226F">
              <w:t>Content Evaluated</w:t>
            </w:r>
          </w:p>
        </w:tc>
      </w:tr>
      <w:tr w:rsidR="006C226F" w:rsidRPr="006C226F" w14:paraId="06193949" w14:textId="77777777" w:rsidTr="00C93D65">
        <w:trPr>
          <w:trHeight w:val="656"/>
        </w:trPr>
        <w:tc>
          <w:tcPr>
            <w:tcW w:w="1441" w:type="pct"/>
            <w:tcBorders>
              <w:top w:val="single" w:sz="4" w:space="0" w:color="auto"/>
            </w:tcBorders>
          </w:tcPr>
          <w:p w14:paraId="53D3C340" w14:textId="77777777" w:rsidR="006C226F" w:rsidRPr="006C226F" w:rsidRDefault="006C226F" w:rsidP="006C226F">
            <w:pPr>
              <w:contextualSpacing/>
            </w:pPr>
            <w:r w:rsidRPr="006C226F">
              <w:t>Lesson Planning</w:t>
            </w:r>
          </w:p>
        </w:tc>
        <w:tc>
          <w:tcPr>
            <w:tcW w:w="698" w:type="pct"/>
            <w:tcBorders>
              <w:top w:val="single" w:sz="4" w:space="0" w:color="auto"/>
            </w:tcBorders>
          </w:tcPr>
          <w:p w14:paraId="7DF65E90" w14:textId="77777777" w:rsidR="006C226F" w:rsidRPr="006C226F" w:rsidRDefault="006C226F" w:rsidP="006C226F">
            <w:pPr>
              <w:contextualSpacing/>
              <w:jc w:val="center"/>
            </w:pPr>
            <w:r w:rsidRPr="006C226F">
              <w:t>5</w:t>
            </w:r>
          </w:p>
        </w:tc>
        <w:tc>
          <w:tcPr>
            <w:tcW w:w="2861" w:type="pct"/>
            <w:tcBorders>
              <w:top w:val="single" w:sz="4" w:space="0" w:color="auto"/>
            </w:tcBorders>
          </w:tcPr>
          <w:p w14:paraId="6F96C53A" w14:textId="77777777" w:rsidR="006C226F" w:rsidRPr="006C226F" w:rsidRDefault="006C226F" w:rsidP="006C226F">
            <w:pPr>
              <w:contextualSpacing/>
            </w:pPr>
            <w:r w:rsidRPr="006C226F">
              <w:rPr>
                <w:rFonts w:eastAsia="Calibri"/>
              </w:rPr>
              <w:t>Objectives, alignment of lesson content with objectives and state standards, use of resources, appropriateness of lesson activities</w:t>
            </w:r>
          </w:p>
        </w:tc>
      </w:tr>
      <w:tr w:rsidR="006C226F" w:rsidRPr="006C226F" w14:paraId="2844EFC5" w14:textId="77777777" w:rsidTr="00C93D65">
        <w:trPr>
          <w:trHeight w:val="378"/>
        </w:trPr>
        <w:tc>
          <w:tcPr>
            <w:tcW w:w="1441" w:type="pct"/>
          </w:tcPr>
          <w:p w14:paraId="10B758B3" w14:textId="77777777" w:rsidR="006C226F" w:rsidRPr="006C226F" w:rsidRDefault="006C226F" w:rsidP="006C226F">
            <w:pPr>
              <w:contextualSpacing/>
            </w:pPr>
            <w:r w:rsidRPr="006C226F">
              <w:t>Lesson Delivery</w:t>
            </w:r>
          </w:p>
        </w:tc>
        <w:tc>
          <w:tcPr>
            <w:tcW w:w="698" w:type="pct"/>
          </w:tcPr>
          <w:p w14:paraId="64D280D3" w14:textId="77777777" w:rsidR="006C226F" w:rsidRPr="006C226F" w:rsidRDefault="006C226F" w:rsidP="006C226F">
            <w:pPr>
              <w:contextualSpacing/>
              <w:jc w:val="center"/>
            </w:pPr>
            <w:r w:rsidRPr="006C226F">
              <w:t>8</w:t>
            </w:r>
          </w:p>
        </w:tc>
        <w:tc>
          <w:tcPr>
            <w:tcW w:w="2861" w:type="pct"/>
          </w:tcPr>
          <w:p w14:paraId="7AA50886" w14:textId="77777777" w:rsidR="006C226F" w:rsidRPr="006C226F" w:rsidRDefault="006C226F" w:rsidP="006C226F">
            <w:pPr>
              <w:contextualSpacing/>
            </w:pPr>
            <w:r w:rsidRPr="006C226F">
              <w:rPr>
                <w:rFonts w:eastAsia="Calibri"/>
              </w:rPr>
              <w:t>Accuracy of lesson content and communication, emphasizing the value and relevance of lesson content, monitoring students’ understanding and engagement, and providing specific constructive feedback</w:t>
            </w:r>
          </w:p>
        </w:tc>
      </w:tr>
      <w:tr w:rsidR="006C226F" w:rsidRPr="006C226F" w14:paraId="77B8375F" w14:textId="77777777" w:rsidTr="00C93D65">
        <w:trPr>
          <w:trHeight w:val="57"/>
        </w:trPr>
        <w:tc>
          <w:tcPr>
            <w:tcW w:w="1441" w:type="pct"/>
          </w:tcPr>
          <w:p w14:paraId="77AF3267" w14:textId="77777777" w:rsidR="006C226F" w:rsidRPr="006C226F" w:rsidRDefault="006C226F" w:rsidP="006C226F">
            <w:pPr>
              <w:contextualSpacing/>
            </w:pPr>
            <w:r w:rsidRPr="006C226F">
              <w:t>Lesson Assessment</w:t>
            </w:r>
          </w:p>
        </w:tc>
        <w:tc>
          <w:tcPr>
            <w:tcW w:w="698" w:type="pct"/>
          </w:tcPr>
          <w:p w14:paraId="172D9175" w14:textId="77777777" w:rsidR="006C226F" w:rsidRPr="006C226F" w:rsidRDefault="006C226F" w:rsidP="006C226F">
            <w:pPr>
              <w:contextualSpacing/>
              <w:jc w:val="center"/>
            </w:pPr>
            <w:r w:rsidRPr="006C226F">
              <w:t>3</w:t>
            </w:r>
          </w:p>
        </w:tc>
        <w:tc>
          <w:tcPr>
            <w:tcW w:w="2861" w:type="pct"/>
          </w:tcPr>
          <w:p w14:paraId="4A31E8AE" w14:textId="77777777" w:rsidR="006C226F" w:rsidRPr="006C226F" w:rsidRDefault="006C226F" w:rsidP="006C226F">
            <w:pPr>
              <w:contextualSpacing/>
            </w:pPr>
            <w:r w:rsidRPr="006C226F">
              <w:rPr>
                <w:rFonts w:eastAsia="Calibri"/>
              </w:rPr>
              <w:t>The alignment between assessment and curriculum objectives, lesson objectives, and lesson activities</w:t>
            </w:r>
          </w:p>
        </w:tc>
      </w:tr>
      <w:tr w:rsidR="006C226F" w:rsidRPr="006C226F" w14:paraId="16F33784" w14:textId="77777777" w:rsidTr="00C93D65">
        <w:trPr>
          <w:trHeight w:val="57"/>
        </w:trPr>
        <w:tc>
          <w:tcPr>
            <w:tcW w:w="1441" w:type="pct"/>
          </w:tcPr>
          <w:p w14:paraId="71312162" w14:textId="77777777" w:rsidR="006C226F" w:rsidRPr="006C226F" w:rsidRDefault="006C226F" w:rsidP="006C226F">
            <w:pPr>
              <w:contextualSpacing/>
            </w:pPr>
            <w:r w:rsidRPr="006C226F">
              <w:t>Classroom Management and Engagement</w:t>
            </w:r>
          </w:p>
        </w:tc>
        <w:tc>
          <w:tcPr>
            <w:tcW w:w="698" w:type="pct"/>
          </w:tcPr>
          <w:p w14:paraId="04DA9FC5" w14:textId="77777777" w:rsidR="006C226F" w:rsidRPr="006C226F" w:rsidRDefault="006C226F" w:rsidP="006C226F">
            <w:pPr>
              <w:contextualSpacing/>
              <w:jc w:val="center"/>
            </w:pPr>
            <w:r w:rsidRPr="006C226F">
              <w:t>8</w:t>
            </w:r>
          </w:p>
        </w:tc>
        <w:tc>
          <w:tcPr>
            <w:tcW w:w="2861" w:type="pct"/>
          </w:tcPr>
          <w:p w14:paraId="52300316" w14:textId="77777777" w:rsidR="006C226F" w:rsidRPr="006C226F" w:rsidRDefault="006C226F" w:rsidP="006C226F">
            <w:pPr>
              <w:contextualSpacing/>
            </w:pPr>
            <w:r w:rsidRPr="006C226F">
              <w:rPr>
                <w:rFonts w:eastAsia="Calibri"/>
              </w:rPr>
              <w:t>Management procedures including reinforcing and re-directing behavior as appropriate, pacing and instructor-student interactions</w:t>
            </w:r>
          </w:p>
        </w:tc>
      </w:tr>
      <w:tr w:rsidR="006C226F" w:rsidRPr="006C226F" w14:paraId="60E6F064" w14:textId="77777777" w:rsidTr="00C93D65">
        <w:trPr>
          <w:trHeight w:val="234"/>
        </w:trPr>
        <w:tc>
          <w:tcPr>
            <w:tcW w:w="1441" w:type="pct"/>
          </w:tcPr>
          <w:p w14:paraId="0BA5723D" w14:textId="77777777" w:rsidR="006C226F" w:rsidRPr="006C226F" w:rsidRDefault="006C226F" w:rsidP="006C226F">
            <w:pPr>
              <w:contextualSpacing/>
            </w:pPr>
            <w:r w:rsidRPr="006C226F">
              <w:t>Questioning and Inquiry</w:t>
            </w:r>
          </w:p>
        </w:tc>
        <w:tc>
          <w:tcPr>
            <w:tcW w:w="698" w:type="pct"/>
          </w:tcPr>
          <w:p w14:paraId="651C32E0" w14:textId="77777777" w:rsidR="006C226F" w:rsidRPr="006C226F" w:rsidRDefault="006C226F" w:rsidP="006C226F">
            <w:pPr>
              <w:contextualSpacing/>
              <w:jc w:val="center"/>
            </w:pPr>
            <w:r w:rsidRPr="006C226F">
              <w:t>6</w:t>
            </w:r>
          </w:p>
        </w:tc>
        <w:tc>
          <w:tcPr>
            <w:tcW w:w="2861" w:type="pct"/>
          </w:tcPr>
          <w:p w14:paraId="05D8955E" w14:textId="77777777" w:rsidR="006C226F" w:rsidRPr="006C226F" w:rsidRDefault="006C226F" w:rsidP="006C226F">
            <w:pPr>
              <w:contextualSpacing/>
            </w:pPr>
            <w:r w:rsidRPr="006C226F">
              <w:rPr>
                <w:rFonts w:eastAsia="Calibri"/>
              </w:rPr>
              <w:t>Conveying high expectations; challenging and stimulating students; encouraging participation, critical thinking, and problem solving</w:t>
            </w:r>
          </w:p>
        </w:tc>
      </w:tr>
      <w:tr w:rsidR="006C226F" w:rsidRPr="006C226F" w14:paraId="47A102BC" w14:textId="77777777" w:rsidTr="00C93D65">
        <w:trPr>
          <w:trHeight w:val="396"/>
        </w:trPr>
        <w:tc>
          <w:tcPr>
            <w:tcW w:w="1441" w:type="pct"/>
          </w:tcPr>
          <w:p w14:paraId="16A123D7" w14:textId="77777777" w:rsidR="006C226F" w:rsidRPr="006C226F" w:rsidRDefault="006C226F" w:rsidP="006C226F">
            <w:pPr>
              <w:contextualSpacing/>
            </w:pPr>
            <w:r w:rsidRPr="006C226F">
              <w:t>Diversity</w:t>
            </w:r>
          </w:p>
        </w:tc>
        <w:tc>
          <w:tcPr>
            <w:tcW w:w="698" w:type="pct"/>
          </w:tcPr>
          <w:p w14:paraId="3EE8BE15" w14:textId="77777777" w:rsidR="006C226F" w:rsidRPr="006C226F" w:rsidRDefault="006C226F" w:rsidP="006C226F">
            <w:pPr>
              <w:contextualSpacing/>
              <w:jc w:val="center"/>
            </w:pPr>
            <w:r w:rsidRPr="006C226F">
              <w:t>4</w:t>
            </w:r>
          </w:p>
        </w:tc>
        <w:tc>
          <w:tcPr>
            <w:tcW w:w="2861" w:type="pct"/>
          </w:tcPr>
          <w:p w14:paraId="01D0F058" w14:textId="77777777" w:rsidR="006C226F" w:rsidRPr="006C226F" w:rsidRDefault="006C226F" w:rsidP="006C226F">
            <w:pPr>
              <w:contextualSpacing/>
            </w:pPr>
            <w:r w:rsidRPr="006C226F">
              <w:rPr>
                <w:rFonts w:eastAsia="Calibri"/>
              </w:rPr>
              <w:t xml:space="preserve">Differentiation, culturally responsive instruction, and lesson content and materials’ relation to student diversity.  </w:t>
            </w:r>
          </w:p>
        </w:tc>
      </w:tr>
      <w:tr w:rsidR="006C226F" w:rsidRPr="006C226F" w14:paraId="393D6DEB" w14:textId="77777777" w:rsidTr="00C93D65">
        <w:trPr>
          <w:trHeight w:val="144"/>
        </w:trPr>
        <w:tc>
          <w:tcPr>
            <w:tcW w:w="1441" w:type="pct"/>
          </w:tcPr>
          <w:p w14:paraId="06F2CAEF" w14:textId="77777777" w:rsidR="006C226F" w:rsidRPr="006C226F" w:rsidRDefault="006C226F" w:rsidP="006C226F">
            <w:pPr>
              <w:contextualSpacing/>
            </w:pPr>
            <w:r w:rsidRPr="006C226F">
              <w:t>General Teaching Skills</w:t>
            </w:r>
          </w:p>
        </w:tc>
        <w:tc>
          <w:tcPr>
            <w:tcW w:w="698" w:type="pct"/>
          </w:tcPr>
          <w:p w14:paraId="2B5FD4C5" w14:textId="77777777" w:rsidR="006C226F" w:rsidRPr="006C226F" w:rsidRDefault="006C226F" w:rsidP="006C226F">
            <w:pPr>
              <w:contextualSpacing/>
              <w:jc w:val="center"/>
            </w:pPr>
            <w:r w:rsidRPr="006C226F">
              <w:t>3</w:t>
            </w:r>
          </w:p>
        </w:tc>
        <w:tc>
          <w:tcPr>
            <w:tcW w:w="2861" w:type="pct"/>
          </w:tcPr>
          <w:p w14:paraId="167247E9" w14:textId="77777777" w:rsidR="006C226F" w:rsidRPr="006C226F" w:rsidRDefault="006C226F" w:rsidP="006C226F">
            <w:r w:rsidRPr="006C226F">
              <w:rPr>
                <w:rFonts w:eastAsia="Calibri"/>
              </w:rPr>
              <w:t xml:space="preserve">Technology use, time management, re-teaching </w:t>
            </w:r>
          </w:p>
        </w:tc>
      </w:tr>
    </w:tbl>
    <w:p w14:paraId="04AE93A9" w14:textId="77777777" w:rsidR="006C226F" w:rsidRDefault="006C226F" w:rsidP="00B97E97">
      <w:pPr>
        <w:spacing w:line="480" w:lineRule="auto"/>
        <w:jc w:val="center"/>
        <w:rPr>
          <w:b/>
          <w:szCs w:val="22"/>
          <w:lang w:bidi="en-US"/>
        </w:rPr>
      </w:pPr>
    </w:p>
    <w:p w14:paraId="38637238" w14:textId="77777777" w:rsidR="006C226F" w:rsidRDefault="006C226F" w:rsidP="00B97E97">
      <w:pPr>
        <w:spacing w:line="480" w:lineRule="auto"/>
        <w:jc w:val="center"/>
        <w:rPr>
          <w:b/>
          <w:szCs w:val="22"/>
          <w:lang w:bidi="en-US"/>
        </w:rPr>
      </w:pPr>
    </w:p>
    <w:p w14:paraId="5A218E2E" w14:textId="77777777" w:rsidR="006C226F" w:rsidRPr="006C226F" w:rsidRDefault="006C226F" w:rsidP="006C226F">
      <w:pPr>
        <w:rPr>
          <w:rFonts w:eastAsia="Calibri"/>
          <w:b/>
        </w:rPr>
      </w:pPr>
      <w:r w:rsidRPr="006C226F">
        <w:rPr>
          <w:rFonts w:eastAsia="Calibri"/>
          <w:b/>
        </w:rPr>
        <w:t>Table 2</w:t>
      </w:r>
    </w:p>
    <w:tbl>
      <w:tblPr>
        <w:tblStyle w:val="TableGridLight1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0"/>
        <w:gridCol w:w="1440"/>
        <w:gridCol w:w="1440"/>
        <w:gridCol w:w="1441"/>
      </w:tblGrid>
      <w:tr w:rsidR="006C226F" w:rsidRPr="006C226F" w14:paraId="49D59907" w14:textId="77777777" w:rsidTr="00C93D65">
        <w:trPr>
          <w:trHeight w:val="144"/>
        </w:trPr>
        <w:tc>
          <w:tcPr>
            <w:tcW w:w="5000" w:type="pct"/>
            <w:gridSpan w:val="5"/>
            <w:tcBorders>
              <w:bottom w:val="single" w:sz="4" w:space="0" w:color="auto"/>
            </w:tcBorders>
          </w:tcPr>
          <w:p w14:paraId="5458719F" w14:textId="77777777" w:rsidR="006C226F" w:rsidRPr="006C226F" w:rsidRDefault="006C226F" w:rsidP="006C226F">
            <w:pPr>
              <w:rPr>
                <w:i/>
              </w:rPr>
            </w:pPr>
          </w:p>
          <w:p w14:paraId="600BC4B7" w14:textId="77777777" w:rsidR="006C226F" w:rsidRPr="006C226F" w:rsidRDefault="006C226F" w:rsidP="006C226F">
            <w:pPr>
              <w:ind w:left="-108"/>
              <w:rPr>
                <w:i/>
              </w:rPr>
            </w:pPr>
            <w:r w:rsidRPr="006C226F">
              <w:rPr>
                <w:i/>
              </w:rPr>
              <w:t>Mean and Standard Deviation on Each Category</w:t>
            </w:r>
          </w:p>
          <w:p w14:paraId="3E868629" w14:textId="77777777" w:rsidR="006C226F" w:rsidRPr="006C226F" w:rsidRDefault="006C226F" w:rsidP="006C226F">
            <w:pPr>
              <w:rPr>
                <w:i/>
              </w:rPr>
            </w:pPr>
            <w:r w:rsidRPr="006C226F">
              <w:rPr>
                <w:i/>
              </w:rPr>
              <w:t xml:space="preserve"> </w:t>
            </w:r>
          </w:p>
        </w:tc>
      </w:tr>
      <w:tr w:rsidR="006C226F" w:rsidRPr="006C226F" w14:paraId="2688B623" w14:textId="77777777" w:rsidTr="00C93D65">
        <w:trPr>
          <w:trHeight w:val="144"/>
        </w:trPr>
        <w:tc>
          <w:tcPr>
            <w:tcW w:w="1971" w:type="pct"/>
            <w:tcBorders>
              <w:top w:val="single" w:sz="4" w:space="0" w:color="auto"/>
              <w:bottom w:val="single" w:sz="4" w:space="0" w:color="auto"/>
            </w:tcBorders>
          </w:tcPr>
          <w:p w14:paraId="225C7BFC" w14:textId="77777777" w:rsidR="006C226F" w:rsidRPr="006C226F" w:rsidRDefault="006C226F" w:rsidP="006C226F">
            <w:pPr>
              <w:contextualSpacing/>
            </w:pPr>
          </w:p>
        </w:tc>
        <w:tc>
          <w:tcPr>
            <w:tcW w:w="1490" w:type="pct"/>
            <w:gridSpan w:val="2"/>
            <w:tcBorders>
              <w:top w:val="single" w:sz="4" w:space="0" w:color="auto"/>
              <w:bottom w:val="single" w:sz="4" w:space="0" w:color="auto"/>
            </w:tcBorders>
          </w:tcPr>
          <w:p w14:paraId="510D2F3D" w14:textId="77777777" w:rsidR="006C226F" w:rsidRPr="006C226F" w:rsidRDefault="006C226F" w:rsidP="006C226F">
            <w:pPr>
              <w:contextualSpacing/>
              <w:jc w:val="center"/>
            </w:pPr>
            <w:r w:rsidRPr="006C226F">
              <w:t>Supervisors</w:t>
            </w:r>
          </w:p>
        </w:tc>
        <w:tc>
          <w:tcPr>
            <w:tcW w:w="1539" w:type="pct"/>
            <w:gridSpan w:val="2"/>
            <w:tcBorders>
              <w:top w:val="single" w:sz="4" w:space="0" w:color="auto"/>
              <w:bottom w:val="single" w:sz="4" w:space="0" w:color="auto"/>
            </w:tcBorders>
          </w:tcPr>
          <w:p w14:paraId="01DA15F3" w14:textId="77777777" w:rsidR="006C226F" w:rsidRPr="006C226F" w:rsidRDefault="006C226F" w:rsidP="006C226F">
            <w:pPr>
              <w:contextualSpacing/>
              <w:jc w:val="center"/>
            </w:pPr>
            <w:r w:rsidRPr="006C226F">
              <w:t>Cooperating Teachers</w:t>
            </w:r>
          </w:p>
        </w:tc>
      </w:tr>
      <w:tr w:rsidR="006C226F" w:rsidRPr="006C226F" w14:paraId="18FF6D9D" w14:textId="77777777" w:rsidTr="00C93D65">
        <w:trPr>
          <w:trHeight w:val="144"/>
        </w:trPr>
        <w:tc>
          <w:tcPr>
            <w:tcW w:w="1971" w:type="pct"/>
            <w:tcBorders>
              <w:top w:val="single" w:sz="4" w:space="0" w:color="auto"/>
            </w:tcBorders>
          </w:tcPr>
          <w:p w14:paraId="65C032A8" w14:textId="77777777" w:rsidR="006C226F" w:rsidRPr="006C226F" w:rsidRDefault="006C226F" w:rsidP="006C226F">
            <w:pPr>
              <w:contextualSpacing/>
              <w:rPr>
                <w:u w:val="single"/>
              </w:rPr>
            </w:pPr>
            <w:r w:rsidRPr="006C226F">
              <w:rPr>
                <w:u w:val="single"/>
              </w:rPr>
              <w:t>Category</w:t>
            </w:r>
          </w:p>
        </w:tc>
        <w:tc>
          <w:tcPr>
            <w:tcW w:w="721" w:type="pct"/>
            <w:tcBorders>
              <w:top w:val="single" w:sz="4" w:space="0" w:color="auto"/>
            </w:tcBorders>
          </w:tcPr>
          <w:p w14:paraId="196454FD" w14:textId="77777777" w:rsidR="006C226F" w:rsidRPr="006C226F" w:rsidRDefault="006C226F" w:rsidP="006C226F">
            <w:pPr>
              <w:contextualSpacing/>
              <w:jc w:val="center"/>
              <w:rPr>
                <w:u w:val="single"/>
              </w:rPr>
            </w:pPr>
            <w:r w:rsidRPr="006C226F">
              <w:rPr>
                <w:u w:val="single"/>
              </w:rPr>
              <w:t>Mean</w:t>
            </w:r>
          </w:p>
        </w:tc>
        <w:tc>
          <w:tcPr>
            <w:tcW w:w="769" w:type="pct"/>
            <w:tcBorders>
              <w:top w:val="single" w:sz="4" w:space="0" w:color="auto"/>
            </w:tcBorders>
          </w:tcPr>
          <w:p w14:paraId="391D2E59" w14:textId="77777777" w:rsidR="006C226F" w:rsidRPr="006C226F" w:rsidRDefault="006C226F" w:rsidP="006C226F">
            <w:pPr>
              <w:contextualSpacing/>
              <w:jc w:val="center"/>
              <w:rPr>
                <w:u w:val="single"/>
              </w:rPr>
            </w:pPr>
            <w:r w:rsidRPr="006C226F">
              <w:rPr>
                <w:u w:val="single"/>
              </w:rPr>
              <w:t>SD</w:t>
            </w:r>
          </w:p>
        </w:tc>
        <w:tc>
          <w:tcPr>
            <w:tcW w:w="769" w:type="pct"/>
            <w:tcBorders>
              <w:top w:val="single" w:sz="4" w:space="0" w:color="auto"/>
            </w:tcBorders>
          </w:tcPr>
          <w:p w14:paraId="2F87EE44" w14:textId="77777777" w:rsidR="006C226F" w:rsidRPr="006C226F" w:rsidRDefault="006C226F" w:rsidP="006C226F">
            <w:pPr>
              <w:contextualSpacing/>
              <w:jc w:val="center"/>
              <w:rPr>
                <w:u w:val="single"/>
              </w:rPr>
            </w:pPr>
            <w:r w:rsidRPr="006C226F">
              <w:rPr>
                <w:u w:val="single"/>
              </w:rPr>
              <w:t>Mean</w:t>
            </w:r>
          </w:p>
        </w:tc>
        <w:tc>
          <w:tcPr>
            <w:tcW w:w="770" w:type="pct"/>
            <w:tcBorders>
              <w:top w:val="single" w:sz="4" w:space="0" w:color="auto"/>
            </w:tcBorders>
          </w:tcPr>
          <w:p w14:paraId="0CCC69B1" w14:textId="77777777" w:rsidR="006C226F" w:rsidRPr="006C226F" w:rsidRDefault="006C226F" w:rsidP="006C226F">
            <w:pPr>
              <w:contextualSpacing/>
              <w:jc w:val="center"/>
              <w:rPr>
                <w:u w:val="single"/>
              </w:rPr>
            </w:pPr>
            <w:r w:rsidRPr="006C226F">
              <w:rPr>
                <w:u w:val="single"/>
              </w:rPr>
              <w:t>SD</w:t>
            </w:r>
          </w:p>
        </w:tc>
      </w:tr>
      <w:tr w:rsidR="006C226F" w:rsidRPr="006C226F" w14:paraId="1D349844" w14:textId="77777777" w:rsidTr="00C93D65">
        <w:trPr>
          <w:trHeight w:val="144"/>
        </w:trPr>
        <w:tc>
          <w:tcPr>
            <w:tcW w:w="1971" w:type="pct"/>
          </w:tcPr>
          <w:p w14:paraId="1A1CF05C" w14:textId="77777777" w:rsidR="006C226F" w:rsidRPr="006C226F" w:rsidRDefault="006C226F" w:rsidP="006C226F">
            <w:pPr>
              <w:contextualSpacing/>
            </w:pPr>
            <w:r w:rsidRPr="006C226F">
              <w:t>Lesson Planning</w:t>
            </w:r>
          </w:p>
        </w:tc>
        <w:tc>
          <w:tcPr>
            <w:tcW w:w="721" w:type="pct"/>
          </w:tcPr>
          <w:p w14:paraId="633DC878" w14:textId="77777777" w:rsidR="006C226F" w:rsidRPr="006C226F" w:rsidRDefault="006C226F" w:rsidP="006C226F">
            <w:pPr>
              <w:contextualSpacing/>
              <w:jc w:val="center"/>
            </w:pPr>
            <w:r w:rsidRPr="006C226F">
              <w:rPr>
                <w:rFonts w:eastAsia="Calibri"/>
              </w:rPr>
              <w:t>5.35</w:t>
            </w:r>
          </w:p>
        </w:tc>
        <w:tc>
          <w:tcPr>
            <w:tcW w:w="769" w:type="pct"/>
          </w:tcPr>
          <w:p w14:paraId="544095A2" w14:textId="77777777" w:rsidR="006C226F" w:rsidRPr="006C226F" w:rsidRDefault="006C226F" w:rsidP="006C226F">
            <w:pPr>
              <w:contextualSpacing/>
              <w:jc w:val="center"/>
              <w:rPr>
                <w:rFonts w:eastAsia="Calibri"/>
              </w:rPr>
            </w:pPr>
            <w:r w:rsidRPr="006C226F">
              <w:rPr>
                <w:rFonts w:eastAsia="Calibri"/>
              </w:rPr>
              <w:t>0.61</w:t>
            </w:r>
          </w:p>
        </w:tc>
        <w:tc>
          <w:tcPr>
            <w:tcW w:w="769" w:type="pct"/>
          </w:tcPr>
          <w:p w14:paraId="4CB95339" w14:textId="77777777" w:rsidR="006C226F" w:rsidRPr="006C226F" w:rsidRDefault="006C226F" w:rsidP="006C226F">
            <w:pPr>
              <w:contextualSpacing/>
              <w:jc w:val="center"/>
            </w:pPr>
            <w:r w:rsidRPr="006C226F">
              <w:rPr>
                <w:rFonts w:eastAsia="Calibri"/>
              </w:rPr>
              <w:t>5.40</w:t>
            </w:r>
          </w:p>
        </w:tc>
        <w:tc>
          <w:tcPr>
            <w:tcW w:w="770" w:type="pct"/>
          </w:tcPr>
          <w:p w14:paraId="7CBA96B5" w14:textId="77777777" w:rsidR="006C226F" w:rsidRPr="006C226F" w:rsidRDefault="006C226F" w:rsidP="006C226F">
            <w:pPr>
              <w:contextualSpacing/>
              <w:jc w:val="center"/>
            </w:pPr>
            <w:r w:rsidRPr="006C226F">
              <w:rPr>
                <w:rFonts w:eastAsia="Calibri"/>
              </w:rPr>
              <w:t>0.66</w:t>
            </w:r>
          </w:p>
        </w:tc>
      </w:tr>
      <w:tr w:rsidR="006C226F" w:rsidRPr="006C226F" w14:paraId="544634A3" w14:textId="77777777" w:rsidTr="00C93D65">
        <w:trPr>
          <w:trHeight w:val="144"/>
        </w:trPr>
        <w:tc>
          <w:tcPr>
            <w:tcW w:w="1971" w:type="pct"/>
          </w:tcPr>
          <w:p w14:paraId="05C21B95" w14:textId="77777777" w:rsidR="006C226F" w:rsidRPr="006C226F" w:rsidRDefault="006C226F" w:rsidP="006C226F">
            <w:pPr>
              <w:contextualSpacing/>
            </w:pPr>
            <w:r w:rsidRPr="006C226F">
              <w:t>Lesson Delivery*</w:t>
            </w:r>
          </w:p>
        </w:tc>
        <w:tc>
          <w:tcPr>
            <w:tcW w:w="721" w:type="pct"/>
          </w:tcPr>
          <w:p w14:paraId="02A8E36C" w14:textId="77777777" w:rsidR="006C226F" w:rsidRPr="006C226F" w:rsidRDefault="006C226F" w:rsidP="006C226F">
            <w:pPr>
              <w:contextualSpacing/>
              <w:jc w:val="center"/>
            </w:pPr>
            <w:r w:rsidRPr="006C226F">
              <w:rPr>
                <w:rFonts w:eastAsia="Calibri"/>
              </w:rPr>
              <w:t>5.32</w:t>
            </w:r>
          </w:p>
        </w:tc>
        <w:tc>
          <w:tcPr>
            <w:tcW w:w="769" w:type="pct"/>
          </w:tcPr>
          <w:p w14:paraId="242953DE" w14:textId="77777777" w:rsidR="006C226F" w:rsidRPr="006C226F" w:rsidRDefault="006C226F" w:rsidP="006C226F">
            <w:pPr>
              <w:contextualSpacing/>
              <w:jc w:val="center"/>
            </w:pPr>
            <w:r w:rsidRPr="006C226F">
              <w:rPr>
                <w:rFonts w:eastAsia="Calibri"/>
              </w:rPr>
              <w:t>0.56</w:t>
            </w:r>
          </w:p>
        </w:tc>
        <w:tc>
          <w:tcPr>
            <w:tcW w:w="769" w:type="pct"/>
          </w:tcPr>
          <w:p w14:paraId="608336E1" w14:textId="77777777" w:rsidR="006C226F" w:rsidRPr="006C226F" w:rsidRDefault="006C226F" w:rsidP="006C226F">
            <w:pPr>
              <w:contextualSpacing/>
              <w:jc w:val="center"/>
            </w:pPr>
            <w:r w:rsidRPr="006C226F">
              <w:rPr>
                <w:rFonts w:eastAsia="Calibri"/>
              </w:rPr>
              <w:t>5.22</w:t>
            </w:r>
          </w:p>
        </w:tc>
        <w:tc>
          <w:tcPr>
            <w:tcW w:w="770" w:type="pct"/>
          </w:tcPr>
          <w:p w14:paraId="24DD2E4E" w14:textId="77777777" w:rsidR="006C226F" w:rsidRPr="006C226F" w:rsidRDefault="006C226F" w:rsidP="006C226F">
            <w:pPr>
              <w:contextualSpacing/>
              <w:jc w:val="center"/>
            </w:pPr>
            <w:r w:rsidRPr="006C226F">
              <w:rPr>
                <w:rFonts w:eastAsia="Calibri"/>
              </w:rPr>
              <w:t>0.71</w:t>
            </w:r>
          </w:p>
        </w:tc>
      </w:tr>
      <w:tr w:rsidR="006C226F" w:rsidRPr="006C226F" w14:paraId="23B944DB" w14:textId="77777777" w:rsidTr="00C93D65">
        <w:trPr>
          <w:trHeight w:val="144"/>
        </w:trPr>
        <w:tc>
          <w:tcPr>
            <w:tcW w:w="1971" w:type="pct"/>
          </w:tcPr>
          <w:p w14:paraId="245E23F0" w14:textId="77777777" w:rsidR="006C226F" w:rsidRPr="006C226F" w:rsidRDefault="006C226F" w:rsidP="006C226F">
            <w:pPr>
              <w:contextualSpacing/>
            </w:pPr>
            <w:r w:rsidRPr="006C226F">
              <w:t>Lesson Assessment*</w:t>
            </w:r>
          </w:p>
        </w:tc>
        <w:tc>
          <w:tcPr>
            <w:tcW w:w="721" w:type="pct"/>
          </w:tcPr>
          <w:p w14:paraId="4A95760B" w14:textId="77777777" w:rsidR="006C226F" w:rsidRPr="006C226F" w:rsidRDefault="006C226F" w:rsidP="006C226F">
            <w:pPr>
              <w:contextualSpacing/>
              <w:jc w:val="center"/>
            </w:pPr>
            <w:r w:rsidRPr="006C226F">
              <w:rPr>
                <w:rFonts w:eastAsia="Calibri"/>
              </w:rPr>
              <w:t>5.16</w:t>
            </w:r>
          </w:p>
        </w:tc>
        <w:tc>
          <w:tcPr>
            <w:tcW w:w="769" w:type="pct"/>
          </w:tcPr>
          <w:p w14:paraId="62DE6540" w14:textId="77777777" w:rsidR="006C226F" w:rsidRPr="006C226F" w:rsidRDefault="006C226F" w:rsidP="006C226F">
            <w:pPr>
              <w:contextualSpacing/>
              <w:jc w:val="center"/>
            </w:pPr>
            <w:r w:rsidRPr="006C226F">
              <w:rPr>
                <w:rFonts w:eastAsia="Calibri"/>
              </w:rPr>
              <w:t>0.69</w:t>
            </w:r>
          </w:p>
        </w:tc>
        <w:tc>
          <w:tcPr>
            <w:tcW w:w="769" w:type="pct"/>
          </w:tcPr>
          <w:p w14:paraId="08DF3F9D" w14:textId="77777777" w:rsidR="006C226F" w:rsidRPr="006C226F" w:rsidRDefault="006C226F" w:rsidP="006C226F">
            <w:pPr>
              <w:contextualSpacing/>
              <w:jc w:val="center"/>
            </w:pPr>
            <w:r w:rsidRPr="006C226F">
              <w:rPr>
                <w:rFonts w:eastAsia="Calibri"/>
              </w:rPr>
              <w:t>5.46</w:t>
            </w:r>
          </w:p>
        </w:tc>
        <w:tc>
          <w:tcPr>
            <w:tcW w:w="770" w:type="pct"/>
          </w:tcPr>
          <w:p w14:paraId="77982B12" w14:textId="77777777" w:rsidR="006C226F" w:rsidRPr="006C226F" w:rsidRDefault="006C226F" w:rsidP="006C226F">
            <w:pPr>
              <w:contextualSpacing/>
              <w:jc w:val="center"/>
            </w:pPr>
            <w:r w:rsidRPr="006C226F">
              <w:rPr>
                <w:rFonts w:eastAsia="Calibri"/>
              </w:rPr>
              <w:t>0.70</w:t>
            </w:r>
          </w:p>
        </w:tc>
      </w:tr>
      <w:tr w:rsidR="006C226F" w:rsidRPr="006C226F" w14:paraId="31818C24" w14:textId="77777777" w:rsidTr="00C93D65">
        <w:trPr>
          <w:trHeight w:val="144"/>
        </w:trPr>
        <w:tc>
          <w:tcPr>
            <w:tcW w:w="1971" w:type="pct"/>
          </w:tcPr>
          <w:p w14:paraId="15934E04" w14:textId="77777777" w:rsidR="006C226F" w:rsidRPr="006C226F" w:rsidRDefault="006C226F" w:rsidP="006C226F">
            <w:pPr>
              <w:ind w:left="252" w:hanging="252"/>
              <w:contextualSpacing/>
            </w:pPr>
            <w:r w:rsidRPr="006C226F">
              <w:t>Classroom Management and Engagement*</w:t>
            </w:r>
          </w:p>
        </w:tc>
        <w:tc>
          <w:tcPr>
            <w:tcW w:w="721" w:type="pct"/>
          </w:tcPr>
          <w:p w14:paraId="4F24BBBB" w14:textId="77777777" w:rsidR="006C226F" w:rsidRPr="006C226F" w:rsidRDefault="006C226F" w:rsidP="006C226F">
            <w:pPr>
              <w:contextualSpacing/>
              <w:jc w:val="center"/>
            </w:pPr>
            <w:r w:rsidRPr="006C226F">
              <w:rPr>
                <w:rFonts w:eastAsia="Calibri"/>
              </w:rPr>
              <w:t>5.30</w:t>
            </w:r>
          </w:p>
        </w:tc>
        <w:tc>
          <w:tcPr>
            <w:tcW w:w="769" w:type="pct"/>
          </w:tcPr>
          <w:p w14:paraId="4F42CB53" w14:textId="77777777" w:rsidR="006C226F" w:rsidRPr="006C226F" w:rsidRDefault="006C226F" w:rsidP="006C226F">
            <w:pPr>
              <w:contextualSpacing/>
              <w:jc w:val="center"/>
            </w:pPr>
            <w:r w:rsidRPr="006C226F">
              <w:rPr>
                <w:rFonts w:eastAsia="Calibri"/>
              </w:rPr>
              <w:t>0.57</w:t>
            </w:r>
          </w:p>
        </w:tc>
        <w:tc>
          <w:tcPr>
            <w:tcW w:w="769" w:type="pct"/>
          </w:tcPr>
          <w:p w14:paraId="507F198D" w14:textId="77777777" w:rsidR="006C226F" w:rsidRPr="006C226F" w:rsidRDefault="006C226F" w:rsidP="006C226F">
            <w:pPr>
              <w:contextualSpacing/>
              <w:jc w:val="center"/>
            </w:pPr>
            <w:r w:rsidRPr="006C226F">
              <w:rPr>
                <w:rFonts w:eastAsia="Calibri"/>
              </w:rPr>
              <w:t>5.20</w:t>
            </w:r>
          </w:p>
        </w:tc>
        <w:tc>
          <w:tcPr>
            <w:tcW w:w="770" w:type="pct"/>
          </w:tcPr>
          <w:p w14:paraId="37040D5D" w14:textId="77777777" w:rsidR="006C226F" w:rsidRPr="006C226F" w:rsidRDefault="006C226F" w:rsidP="006C226F">
            <w:pPr>
              <w:contextualSpacing/>
              <w:jc w:val="center"/>
            </w:pPr>
            <w:r w:rsidRPr="006C226F">
              <w:rPr>
                <w:rFonts w:eastAsia="Calibri"/>
              </w:rPr>
              <w:t>0.72</w:t>
            </w:r>
          </w:p>
        </w:tc>
      </w:tr>
      <w:tr w:rsidR="006C226F" w:rsidRPr="006C226F" w14:paraId="28061D7D" w14:textId="77777777" w:rsidTr="00C93D65">
        <w:trPr>
          <w:trHeight w:val="144"/>
        </w:trPr>
        <w:tc>
          <w:tcPr>
            <w:tcW w:w="1971" w:type="pct"/>
          </w:tcPr>
          <w:p w14:paraId="51EA155F" w14:textId="77777777" w:rsidR="006C226F" w:rsidRPr="006C226F" w:rsidRDefault="006C226F" w:rsidP="006C226F">
            <w:pPr>
              <w:contextualSpacing/>
            </w:pPr>
            <w:r w:rsidRPr="006C226F">
              <w:t>Questioning and Inquiry</w:t>
            </w:r>
          </w:p>
        </w:tc>
        <w:tc>
          <w:tcPr>
            <w:tcW w:w="721" w:type="pct"/>
          </w:tcPr>
          <w:p w14:paraId="1C42C49E" w14:textId="77777777" w:rsidR="006C226F" w:rsidRPr="006C226F" w:rsidRDefault="006C226F" w:rsidP="006C226F">
            <w:pPr>
              <w:contextualSpacing/>
              <w:jc w:val="center"/>
            </w:pPr>
            <w:r w:rsidRPr="006C226F">
              <w:rPr>
                <w:rFonts w:eastAsia="Calibri"/>
              </w:rPr>
              <w:t>5.22</w:t>
            </w:r>
          </w:p>
        </w:tc>
        <w:tc>
          <w:tcPr>
            <w:tcW w:w="769" w:type="pct"/>
          </w:tcPr>
          <w:p w14:paraId="487D927A" w14:textId="77777777" w:rsidR="006C226F" w:rsidRPr="006C226F" w:rsidRDefault="006C226F" w:rsidP="006C226F">
            <w:pPr>
              <w:contextualSpacing/>
              <w:jc w:val="center"/>
            </w:pPr>
            <w:r w:rsidRPr="006C226F">
              <w:rPr>
                <w:rFonts w:eastAsia="Calibri"/>
              </w:rPr>
              <w:t>0.63</w:t>
            </w:r>
          </w:p>
        </w:tc>
        <w:tc>
          <w:tcPr>
            <w:tcW w:w="769" w:type="pct"/>
          </w:tcPr>
          <w:p w14:paraId="14692B30" w14:textId="77777777" w:rsidR="006C226F" w:rsidRPr="006C226F" w:rsidRDefault="006C226F" w:rsidP="006C226F">
            <w:pPr>
              <w:contextualSpacing/>
              <w:jc w:val="center"/>
            </w:pPr>
            <w:r w:rsidRPr="006C226F">
              <w:rPr>
                <w:rFonts w:eastAsia="Calibri"/>
              </w:rPr>
              <w:t>5.22</w:t>
            </w:r>
          </w:p>
        </w:tc>
        <w:tc>
          <w:tcPr>
            <w:tcW w:w="770" w:type="pct"/>
          </w:tcPr>
          <w:p w14:paraId="21AA9440" w14:textId="77777777" w:rsidR="006C226F" w:rsidRPr="006C226F" w:rsidRDefault="006C226F" w:rsidP="006C226F">
            <w:pPr>
              <w:contextualSpacing/>
              <w:jc w:val="center"/>
            </w:pPr>
            <w:r w:rsidRPr="006C226F">
              <w:rPr>
                <w:rFonts w:eastAsia="Calibri"/>
              </w:rPr>
              <w:t>0.71</w:t>
            </w:r>
          </w:p>
        </w:tc>
      </w:tr>
      <w:tr w:rsidR="006C226F" w:rsidRPr="006C226F" w14:paraId="15FB76EA" w14:textId="77777777" w:rsidTr="00C93D65">
        <w:trPr>
          <w:trHeight w:val="144"/>
        </w:trPr>
        <w:tc>
          <w:tcPr>
            <w:tcW w:w="1971" w:type="pct"/>
          </w:tcPr>
          <w:p w14:paraId="0DA60DC5" w14:textId="77777777" w:rsidR="006C226F" w:rsidRPr="006C226F" w:rsidRDefault="006C226F" w:rsidP="006C226F">
            <w:pPr>
              <w:contextualSpacing/>
            </w:pPr>
            <w:r w:rsidRPr="006C226F">
              <w:t>Diversity*</w:t>
            </w:r>
          </w:p>
        </w:tc>
        <w:tc>
          <w:tcPr>
            <w:tcW w:w="721" w:type="pct"/>
          </w:tcPr>
          <w:p w14:paraId="366AEB60" w14:textId="77777777" w:rsidR="006C226F" w:rsidRPr="006C226F" w:rsidRDefault="006C226F" w:rsidP="006C226F">
            <w:pPr>
              <w:contextualSpacing/>
              <w:jc w:val="center"/>
            </w:pPr>
            <w:r w:rsidRPr="006C226F">
              <w:rPr>
                <w:rFonts w:eastAsia="Calibri"/>
              </w:rPr>
              <w:t>4.96</w:t>
            </w:r>
          </w:p>
        </w:tc>
        <w:tc>
          <w:tcPr>
            <w:tcW w:w="769" w:type="pct"/>
          </w:tcPr>
          <w:p w14:paraId="3ED48D2E" w14:textId="77777777" w:rsidR="006C226F" w:rsidRPr="006C226F" w:rsidRDefault="006C226F" w:rsidP="006C226F">
            <w:pPr>
              <w:contextualSpacing/>
              <w:jc w:val="center"/>
            </w:pPr>
            <w:r w:rsidRPr="006C226F">
              <w:rPr>
                <w:rFonts w:eastAsia="Calibri"/>
              </w:rPr>
              <w:t>0.74</w:t>
            </w:r>
          </w:p>
        </w:tc>
        <w:tc>
          <w:tcPr>
            <w:tcW w:w="769" w:type="pct"/>
          </w:tcPr>
          <w:p w14:paraId="7B38E63D" w14:textId="77777777" w:rsidR="006C226F" w:rsidRPr="006C226F" w:rsidRDefault="006C226F" w:rsidP="006C226F">
            <w:pPr>
              <w:contextualSpacing/>
              <w:jc w:val="center"/>
            </w:pPr>
            <w:r w:rsidRPr="006C226F">
              <w:rPr>
                <w:rFonts w:eastAsia="Calibri"/>
              </w:rPr>
              <w:t>5.19</w:t>
            </w:r>
          </w:p>
        </w:tc>
        <w:tc>
          <w:tcPr>
            <w:tcW w:w="770" w:type="pct"/>
          </w:tcPr>
          <w:p w14:paraId="50E5ABC5" w14:textId="77777777" w:rsidR="006C226F" w:rsidRPr="006C226F" w:rsidRDefault="006C226F" w:rsidP="006C226F">
            <w:pPr>
              <w:contextualSpacing/>
              <w:jc w:val="center"/>
            </w:pPr>
            <w:r w:rsidRPr="006C226F">
              <w:rPr>
                <w:rFonts w:eastAsia="Calibri"/>
              </w:rPr>
              <w:t>0.74</w:t>
            </w:r>
          </w:p>
        </w:tc>
      </w:tr>
      <w:tr w:rsidR="006C226F" w:rsidRPr="006C226F" w14:paraId="2350213C" w14:textId="77777777" w:rsidTr="00C93D65">
        <w:trPr>
          <w:trHeight w:val="144"/>
        </w:trPr>
        <w:tc>
          <w:tcPr>
            <w:tcW w:w="1971" w:type="pct"/>
          </w:tcPr>
          <w:p w14:paraId="6B0DBA62" w14:textId="77777777" w:rsidR="006C226F" w:rsidRPr="006C226F" w:rsidRDefault="006C226F" w:rsidP="006C226F">
            <w:pPr>
              <w:contextualSpacing/>
            </w:pPr>
            <w:r w:rsidRPr="006C226F">
              <w:t>General Teaching Skills</w:t>
            </w:r>
          </w:p>
        </w:tc>
        <w:tc>
          <w:tcPr>
            <w:tcW w:w="721" w:type="pct"/>
          </w:tcPr>
          <w:p w14:paraId="08B43778" w14:textId="77777777" w:rsidR="006C226F" w:rsidRPr="006C226F" w:rsidRDefault="006C226F" w:rsidP="006C226F">
            <w:pPr>
              <w:contextualSpacing/>
              <w:jc w:val="center"/>
            </w:pPr>
            <w:r w:rsidRPr="006C226F">
              <w:rPr>
                <w:rFonts w:eastAsia="Calibri"/>
              </w:rPr>
              <w:t>5.31</w:t>
            </w:r>
          </w:p>
        </w:tc>
        <w:tc>
          <w:tcPr>
            <w:tcW w:w="769" w:type="pct"/>
          </w:tcPr>
          <w:p w14:paraId="04C09F6F" w14:textId="77777777" w:rsidR="006C226F" w:rsidRPr="006C226F" w:rsidRDefault="006C226F" w:rsidP="006C226F">
            <w:pPr>
              <w:contextualSpacing/>
              <w:jc w:val="center"/>
            </w:pPr>
            <w:r w:rsidRPr="006C226F">
              <w:rPr>
                <w:rFonts w:eastAsia="Calibri"/>
              </w:rPr>
              <w:t>0.62</w:t>
            </w:r>
          </w:p>
        </w:tc>
        <w:tc>
          <w:tcPr>
            <w:tcW w:w="769" w:type="pct"/>
          </w:tcPr>
          <w:p w14:paraId="6CB11893" w14:textId="77777777" w:rsidR="006C226F" w:rsidRPr="006C226F" w:rsidRDefault="006C226F" w:rsidP="006C226F">
            <w:pPr>
              <w:contextualSpacing/>
              <w:jc w:val="center"/>
            </w:pPr>
            <w:r w:rsidRPr="006C226F">
              <w:rPr>
                <w:rFonts w:eastAsia="Calibri"/>
              </w:rPr>
              <w:t>5.26</w:t>
            </w:r>
          </w:p>
        </w:tc>
        <w:tc>
          <w:tcPr>
            <w:tcW w:w="770" w:type="pct"/>
          </w:tcPr>
          <w:p w14:paraId="6108A288" w14:textId="77777777" w:rsidR="006C226F" w:rsidRPr="006C226F" w:rsidRDefault="006C226F" w:rsidP="006C226F">
            <w:pPr>
              <w:contextualSpacing/>
              <w:jc w:val="center"/>
            </w:pPr>
            <w:r w:rsidRPr="006C226F">
              <w:rPr>
                <w:rFonts w:eastAsia="Calibri"/>
              </w:rPr>
              <w:t>0.73</w:t>
            </w:r>
          </w:p>
        </w:tc>
      </w:tr>
      <w:tr w:rsidR="006C226F" w:rsidRPr="006C226F" w14:paraId="3067ECD9" w14:textId="77777777" w:rsidTr="00C93D65">
        <w:trPr>
          <w:trHeight w:val="144"/>
        </w:trPr>
        <w:tc>
          <w:tcPr>
            <w:tcW w:w="5000" w:type="pct"/>
            <w:gridSpan w:val="5"/>
            <w:tcBorders>
              <w:top w:val="single" w:sz="4" w:space="0" w:color="auto"/>
            </w:tcBorders>
          </w:tcPr>
          <w:p w14:paraId="5417CEDE" w14:textId="77777777" w:rsidR="006C226F" w:rsidRPr="006C226F" w:rsidRDefault="006C226F" w:rsidP="006C226F">
            <w:pPr>
              <w:contextualSpacing/>
              <w:rPr>
                <w:rFonts w:eastAsia="Calibri"/>
              </w:rPr>
            </w:pPr>
            <w:r w:rsidRPr="006C226F">
              <w:rPr>
                <w:rFonts w:eastAsia="Calibri"/>
                <w:i/>
              </w:rPr>
              <w:t>Note.</w:t>
            </w:r>
            <w:r w:rsidRPr="006C226F">
              <w:rPr>
                <w:rFonts w:eastAsia="Calibri"/>
              </w:rPr>
              <w:t xml:space="preserve">  Mean scores range for 1 to 6.  SD = standard deviation.  * = group mean differences significant at </w:t>
            </w:r>
            <w:r w:rsidRPr="006C226F">
              <w:rPr>
                <w:rFonts w:eastAsia="Calibri"/>
                <w:i/>
              </w:rPr>
              <w:t>p</w:t>
            </w:r>
            <w:r w:rsidRPr="006C226F">
              <w:rPr>
                <w:rFonts w:eastAsia="Calibri"/>
              </w:rPr>
              <w:t xml:space="preserve"> </w:t>
            </w:r>
            <w:r w:rsidRPr="006C226F">
              <w:rPr>
                <w:rFonts w:eastAsia="Calibri"/>
                <w:i/>
              </w:rPr>
              <w:t>&lt;</w:t>
            </w:r>
            <w:r w:rsidRPr="006C226F">
              <w:rPr>
                <w:rFonts w:eastAsia="Calibri"/>
              </w:rPr>
              <w:t xml:space="preserve"> .05 level. </w:t>
            </w:r>
          </w:p>
        </w:tc>
      </w:tr>
    </w:tbl>
    <w:p w14:paraId="1DF5FE47" w14:textId="77777777" w:rsidR="006C226F" w:rsidRDefault="006C226F" w:rsidP="00B97E97">
      <w:pPr>
        <w:spacing w:line="480" w:lineRule="auto"/>
        <w:jc w:val="center"/>
        <w:rPr>
          <w:b/>
          <w:szCs w:val="22"/>
          <w:lang w:bidi="en-US"/>
        </w:rPr>
      </w:pPr>
    </w:p>
    <w:p w14:paraId="01289B2D" w14:textId="77777777" w:rsidR="00D97A00" w:rsidRPr="00D97A00" w:rsidRDefault="00D97A00" w:rsidP="00B97E97">
      <w:pPr>
        <w:spacing w:line="480" w:lineRule="auto"/>
        <w:jc w:val="center"/>
        <w:rPr>
          <w:b/>
          <w:szCs w:val="22"/>
          <w:lang w:bidi="en-US"/>
        </w:rPr>
      </w:pPr>
      <w:r w:rsidRPr="00D97A00">
        <w:rPr>
          <w:b/>
          <w:szCs w:val="22"/>
          <w:lang w:bidi="en-US"/>
        </w:rPr>
        <w:t>References</w:t>
      </w:r>
    </w:p>
    <w:p w14:paraId="0DD5B55D" w14:textId="77777777" w:rsidR="00D97A00" w:rsidRDefault="00D97A00" w:rsidP="00C7424E">
      <w:pPr>
        <w:ind w:left="720" w:hanging="720"/>
        <w:contextualSpacing/>
        <w:rPr>
          <w:szCs w:val="22"/>
          <w:lang w:bidi="en-US"/>
        </w:rPr>
      </w:pPr>
      <w:r w:rsidRPr="00D97A00">
        <w:rPr>
          <w:szCs w:val="22"/>
          <w:lang w:bidi="en-US"/>
        </w:rPr>
        <w:t xml:space="preserve">Arends, R. I. (2006). Summative performance assessments. In S. Castle &amp; B. D. Shaklee (Eds.) </w:t>
      </w:r>
      <w:r w:rsidRPr="00D97A00">
        <w:rPr>
          <w:i/>
          <w:szCs w:val="22"/>
          <w:lang w:bidi="en-US"/>
        </w:rPr>
        <w:t>Assessing teacher performance: Performance-based assessment in teacher education</w:t>
      </w:r>
      <w:r w:rsidRPr="00D97A00">
        <w:rPr>
          <w:szCs w:val="22"/>
          <w:lang w:bidi="en-US"/>
        </w:rPr>
        <w:t xml:space="preserve"> (pp. 93-123). Lanham, MD: Rowman &amp; Littlefield Education.</w:t>
      </w:r>
    </w:p>
    <w:p w14:paraId="5A9B641C" w14:textId="77777777" w:rsidR="00C7424E" w:rsidRPr="00D97A00" w:rsidRDefault="00C7424E" w:rsidP="00C7424E">
      <w:pPr>
        <w:ind w:left="720" w:hanging="720"/>
        <w:contextualSpacing/>
        <w:rPr>
          <w:szCs w:val="22"/>
          <w:lang w:bidi="en-US"/>
        </w:rPr>
      </w:pPr>
    </w:p>
    <w:p w14:paraId="165C7BC6" w14:textId="77777777" w:rsidR="00D97A00" w:rsidRDefault="00D97A00" w:rsidP="00C7424E">
      <w:pPr>
        <w:ind w:left="720" w:hanging="720"/>
        <w:contextualSpacing/>
        <w:rPr>
          <w:szCs w:val="22"/>
          <w:lang w:bidi="en-US"/>
        </w:rPr>
      </w:pPr>
      <w:r w:rsidRPr="00D97A00">
        <w:rPr>
          <w:szCs w:val="22"/>
          <w:lang w:bidi="en-US"/>
        </w:rPr>
        <w:t xml:space="preserve">Barrett, J. (1986). Evaluation of student teachers. </w:t>
      </w:r>
      <w:r w:rsidRPr="00D97A00">
        <w:rPr>
          <w:i/>
          <w:szCs w:val="22"/>
          <w:lang w:bidi="en-US"/>
        </w:rPr>
        <w:t>ERIC Digest</w:t>
      </w:r>
      <w:r w:rsidRPr="00D97A00">
        <w:rPr>
          <w:szCs w:val="22"/>
          <w:lang w:bidi="en-US"/>
        </w:rPr>
        <w:t>, Washington, DC: ERIC Clearinghouse on Teacher Education.</w:t>
      </w:r>
    </w:p>
    <w:p w14:paraId="750524CE" w14:textId="77777777" w:rsidR="00C7424E" w:rsidRPr="00D97A00" w:rsidRDefault="00C7424E" w:rsidP="00C7424E">
      <w:pPr>
        <w:ind w:left="720" w:hanging="720"/>
        <w:contextualSpacing/>
        <w:rPr>
          <w:szCs w:val="22"/>
          <w:lang w:bidi="en-US"/>
        </w:rPr>
      </w:pPr>
    </w:p>
    <w:p w14:paraId="6161F6C8" w14:textId="77777777" w:rsidR="00D97A00" w:rsidRDefault="00D97A00" w:rsidP="00C7424E">
      <w:pPr>
        <w:ind w:left="720" w:hanging="720"/>
        <w:contextualSpacing/>
        <w:rPr>
          <w:szCs w:val="22"/>
          <w:lang w:bidi="en-US"/>
        </w:rPr>
      </w:pPr>
      <w:proofErr w:type="spellStart"/>
      <w:r w:rsidRPr="00D97A00">
        <w:rPr>
          <w:szCs w:val="22"/>
          <w:lang w:bidi="en-US"/>
        </w:rPr>
        <w:t>Brucklacher</w:t>
      </w:r>
      <w:proofErr w:type="spellEnd"/>
      <w:r w:rsidRPr="00D97A00">
        <w:rPr>
          <w:szCs w:val="22"/>
          <w:lang w:bidi="en-US"/>
        </w:rPr>
        <w:t xml:space="preserve">, B. (1998). Cooperating teacher's evaluations of student teachers: All "A's"? </w:t>
      </w:r>
      <w:r w:rsidRPr="00D97A00">
        <w:rPr>
          <w:i/>
          <w:szCs w:val="22"/>
          <w:lang w:bidi="en-US"/>
        </w:rPr>
        <w:t>Journal of Instructional Psychology</w:t>
      </w:r>
      <w:r w:rsidRPr="00D97A00">
        <w:rPr>
          <w:szCs w:val="22"/>
          <w:lang w:bidi="en-US"/>
        </w:rPr>
        <w:t xml:space="preserve">, </w:t>
      </w:r>
      <w:r w:rsidRPr="00D97A00">
        <w:rPr>
          <w:i/>
          <w:szCs w:val="22"/>
          <w:lang w:bidi="en-US"/>
        </w:rPr>
        <w:t>25</w:t>
      </w:r>
      <w:r w:rsidRPr="00D97A00">
        <w:rPr>
          <w:szCs w:val="22"/>
          <w:lang w:bidi="en-US"/>
        </w:rPr>
        <w:t>, 67-73.</w:t>
      </w:r>
    </w:p>
    <w:p w14:paraId="064551EB" w14:textId="77777777" w:rsidR="00C7424E" w:rsidRPr="00D97A00" w:rsidRDefault="00C7424E" w:rsidP="00C7424E">
      <w:pPr>
        <w:ind w:left="720" w:hanging="720"/>
        <w:contextualSpacing/>
        <w:rPr>
          <w:szCs w:val="22"/>
          <w:lang w:bidi="en-US"/>
        </w:rPr>
      </w:pPr>
    </w:p>
    <w:p w14:paraId="2C645021" w14:textId="77777777" w:rsidR="00D97A00" w:rsidRDefault="00D97A00" w:rsidP="00C7424E">
      <w:pPr>
        <w:ind w:left="720" w:hanging="720"/>
        <w:contextualSpacing/>
        <w:rPr>
          <w:rFonts w:cs="Calibri"/>
          <w:noProof/>
          <w:szCs w:val="22"/>
          <w:lang w:bidi="en-US"/>
        </w:rPr>
      </w:pPr>
      <w:r w:rsidRPr="00D97A00">
        <w:rPr>
          <w:noProof/>
          <w:szCs w:val="22"/>
          <w:lang w:bidi="en-US"/>
        </w:rPr>
        <w:t xml:space="preserve">Council for the Accreditation of Educator Preparation. (2013). </w:t>
      </w:r>
      <w:r w:rsidRPr="00D97A00">
        <w:rPr>
          <w:i/>
          <w:noProof/>
          <w:szCs w:val="22"/>
          <w:lang w:bidi="en-US"/>
        </w:rPr>
        <w:t>CAEP accreditation standards and evidence: Aspirations for education preparation</w:t>
      </w:r>
      <w:r w:rsidRPr="00D97A00">
        <w:rPr>
          <w:noProof/>
          <w:szCs w:val="22"/>
          <w:lang w:bidi="en-US"/>
        </w:rPr>
        <w:t xml:space="preserve">.  Retrived from: </w:t>
      </w:r>
      <w:hyperlink r:id="rId32" w:history="1">
        <w:r w:rsidRPr="00D97A00">
          <w:rPr>
            <w:rFonts w:cs="Calibri"/>
            <w:noProof/>
            <w:szCs w:val="22"/>
            <w:lang w:bidi="en-US"/>
          </w:rPr>
          <w:t>http://caepnet.files.wordpress.com/2013/02/commrpt.pdf</w:t>
        </w:r>
      </w:hyperlink>
    </w:p>
    <w:p w14:paraId="1F62DED4" w14:textId="77777777" w:rsidR="00C7424E" w:rsidRPr="00D97A00" w:rsidRDefault="00C7424E" w:rsidP="00C7424E">
      <w:pPr>
        <w:ind w:left="720" w:hanging="720"/>
        <w:contextualSpacing/>
        <w:rPr>
          <w:noProof/>
          <w:szCs w:val="22"/>
          <w:lang w:bidi="en-US"/>
        </w:rPr>
      </w:pPr>
    </w:p>
    <w:p w14:paraId="2F0B2084" w14:textId="77777777" w:rsidR="00D97A00" w:rsidRDefault="00D97A00" w:rsidP="00C7424E">
      <w:pPr>
        <w:ind w:left="720" w:hanging="720"/>
        <w:contextualSpacing/>
        <w:rPr>
          <w:szCs w:val="22"/>
          <w:lang w:bidi="en-US"/>
        </w:rPr>
      </w:pPr>
      <w:r w:rsidRPr="00D97A00">
        <w:rPr>
          <w:szCs w:val="22"/>
          <w:lang w:bidi="en-US"/>
        </w:rPr>
        <w:t xml:space="preserve">Clark, A., </w:t>
      </w:r>
      <w:proofErr w:type="spellStart"/>
      <w:r w:rsidRPr="00D97A00">
        <w:rPr>
          <w:szCs w:val="22"/>
          <w:lang w:bidi="en-US"/>
        </w:rPr>
        <w:t>Triggs</w:t>
      </w:r>
      <w:proofErr w:type="spellEnd"/>
      <w:r w:rsidRPr="00D97A00">
        <w:rPr>
          <w:szCs w:val="22"/>
          <w:lang w:bidi="en-US"/>
        </w:rPr>
        <w:t xml:space="preserve">, V., &amp; Nielson, W. (2014). Cooperating teacher participation in teacher education: A review of the literature. </w:t>
      </w:r>
      <w:r w:rsidRPr="00D97A00">
        <w:rPr>
          <w:i/>
          <w:szCs w:val="22"/>
          <w:lang w:bidi="en-US"/>
        </w:rPr>
        <w:t>Review of Educational Research</w:t>
      </w:r>
      <w:r w:rsidRPr="00D97A00">
        <w:rPr>
          <w:szCs w:val="22"/>
          <w:lang w:bidi="en-US"/>
        </w:rPr>
        <w:t xml:space="preserve">, </w:t>
      </w:r>
      <w:r w:rsidRPr="00D97A00">
        <w:rPr>
          <w:i/>
          <w:szCs w:val="22"/>
          <w:lang w:bidi="en-US"/>
        </w:rPr>
        <w:t>23</w:t>
      </w:r>
      <w:r w:rsidRPr="00D97A00">
        <w:rPr>
          <w:szCs w:val="22"/>
          <w:lang w:bidi="en-US"/>
        </w:rPr>
        <w:t>, 163-202.</w:t>
      </w:r>
    </w:p>
    <w:p w14:paraId="58EB35F4" w14:textId="77777777" w:rsidR="00C7424E" w:rsidRPr="00D97A00" w:rsidRDefault="00C7424E" w:rsidP="00C7424E">
      <w:pPr>
        <w:ind w:left="720" w:hanging="720"/>
        <w:contextualSpacing/>
        <w:rPr>
          <w:szCs w:val="22"/>
          <w:lang w:bidi="en-US"/>
        </w:rPr>
      </w:pPr>
    </w:p>
    <w:p w14:paraId="5281AEDA" w14:textId="77777777" w:rsidR="00D97A00" w:rsidRDefault="00D97A00" w:rsidP="00C7424E">
      <w:pPr>
        <w:ind w:left="720" w:hanging="720"/>
        <w:contextualSpacing/>
        <w:rPr>
          <w:szCs w:val="22"/>
          <w:lang w:bidi="en-US"/>
        </w:rPr>
      </w:pPr>
      <w:proofErr w:type="spellStart"/>
      <w:r w:rsidRPr="00D97A00">
        <w:rPr>
          <w:szCs w:val="22"/>
          <w:lang w:bidi="en-US"/>
        </w:rPr>
        <w:t>Crano</w:t>
      </w:r>
      <w:proofErr w:type="spellEnd"/>
      <w:r w:rsidRPr="00D97A00">
        <w:rPr>
          <w:szCs w:val="22"/>
          <w:lang w:bidi="en-US"/>
        </w:rPr>
        <w:t xml:space="preserve">, W., Brewer, M. B., &amp; Lac, A. (2014). </w:t>
      </w:r>
      <w:r w:rsidRPr="00D97A00">
        <w:rPr>
          <w:i/>
          <w:szCs w:val="22"/>
          <w:lang w:bidi="en-US"/>
        </w:rPr>
        <w:t>Principles and methods of social research</w:t>
      </w:r>
      <w:r w:rsidRPr="00D97A00">
        <w:rPr>
          <w:szCs w:val="22"/>
          <w:lang w:bidi="en-US"/>
        </w:rPr>
        <w:t>. New York, NY: Routledge.</w:t>
      </w:r>
    </w:p>
    <w:p w14:paraId="541DB989" w14:textId="77777777" w:rsidR="00C7424E" w:rsidRPr="00D97A00" w:rsidRDefault="00C7424E" w:rsidP="00C7424E">
      <w:pPr>
        <w:ind w:left="720" w:hanging="720"/>
        <w:contextualSpacing/>
        <w:rPr>
          <w:szCs w:val="22"/>
          <w:lang w:bidi="en-US"/>
        </w:rPr>
      </w:pPr>
    </w:p>
    <w:p w14:paraId="13639C88" w14:textId="77777777" w:rsidR="00D97A00" w:rsidRDefault="00D97A00" w:rsidP="00C7424E">
      <w:pPr>
        <w:ind w:left="720" w:hanging="720"/>
        <w:contextualSpacing/>
        <w:rPr>
          <w:szCs w:val="22"/>
          <w:lang w:bidi="en-US"/>
        </w:rPr>
      </w:pPr>
      <w:r w:rsidRPr="00D97A00">
        <w:rPr>
          <w:szCs w:val="22"/>
          <w:lang w:bidi="en-US"/>
        </w:rPr>
        <w:t xml:space="preserve">Cronbach, L. J. (1951). Coefficient alpha and the internal structure of tests. </w:t>
      </w:r>
      <w:proofErr w:type="spellStart"/>
      <w:r w:rsidRPr="00D97A00">
        <w:rPr>
          <w:i/>
          <w:szCs w:val="22"/>
          <w:lang w:bidi="en-US"/>
        </w:rPr>
        <w:t>Pschometrika</w:t>
      </w:r>
      <w:proofErr w:type="spellEnd"/>
      <w:r w:rsidRPr="00D97A00">
        <w:rPr>
          <w:szCs w:val="22"/>
          <w:lang w:bidi="en-US"/>
        </w:rPr>
        <w:t xml:space="preserve">, </w:t>
      </w:r>
      <w:r w:rsidRPr="00D97A00">
        <w:rPr>
          <w:i/>
          <w:szCs w:val="22"/>
          <w:lang w:bidi="en-US"/>
        </w:rPr>
        <w:t>16</w:t>
      </w:r>
      <w:r w:rsidRPr="00D97A00">
        <w:rPr>
          <w:szCs w:val="22"/>
          <w:lang w:bidi="en-US"/>
        </w:rPr>
        <w:t>(3), 297-334.</w:t>
      </w:r>
    </w:p>
    <w:p w14:paraId="6F78C620" w14:textId="77777777" w:rsidR="00C7424E" w:rsidRPr="00D97A00" w:rsidRDefault="00C7424E" w:rsidP="00C7424E">
      <w:pPr>
        <w:ind w:left="720" w:hanging="720"/>
        <w:contextualSpacing/>
        <w:rPr>
          <w:szCs w:val="22"/>
          <w:lang w:bidi="en-US"/>
        </w:rPr>
      </w:pPr>
    </w:p>
    <w:p w14:paraId="0755A6B9" w14:textId="77777777" w:rsidR="00D97A00" w:rsidRDefault="00D97A00" w:rsidP="00C7424E">
      <w:pPr>
        <w:ind w:left="720" w:hanging="720"/>
        <w:contextualSpacing/>
        <w:rPr>
          <w:szCs w:val="22"/>
          <w:lang w:bidi="en-US"/>
        </w:rPr>
      </w:pPr>
      <w:r w:rsidRPr="00D97A00">
        <w:rPr>
          <w:szCs w:val="22"/>
          <w:lang w:bidi="en-US"/>
        </w:rPr>
        <w:t xml:space="preserve">Deering, T. (2011). How should we evaluate student teachers? </w:t>
      </w:r>
      <w:r w:rsidRPr="00D97A00">
        <w:rPr>
          <w:i/>
          <w:szCs w:val="22"/>
          <w:lang w:bidi="en-US"/>
        </w:rPr>
        <w:t>Critical Questions in Education</w:t>
      </w:r>
      <w:r w:rsidRPr="00D97A00">
        <w:rPr>
          <w:szCs w:val="22"/>
          <w:lang w:bidi="en-US"/>
        </w:rPr>
        <w:t xml:space="preserve">, </w:t>
      </w:r>
      <w:r w:rsidRPr="00D97A00">
        <w:rPr>
          <w:i/>
          <w:szCs w:val="22"/>
          <w:lang w:bidi="en-US"/>
        </w:rPr>
        <w:t>2</w:t>
      </w:r>
      <w:r w:rsidRPr="00D97A00">
        <w:rPr>
          <w:szCs w:val="22"/>
          <w:lang w:bidi="en-US"/>
        </w:rPr>
        <w:t>(2), 66-73.</w:t>
      </w:r>
    </w:p>
    <w:p w14:paraId="7BE9CCAA" w14:textId="77777777" w:rsidR="00C7424E" w:rsidRPr="00D97A00" w:rsidRDefault="00C7424E" w:rsidP="00C7424E">
      <w:pPr>
        <w:ind w:left="720" w:hanging="720"/>
        <w:contextualSpacing/>
        <w:rPr>
          <w:szCs w:val="22"/>
          <w:lang w:bidi="en-US"/>
        </w:rPr>
      </w:pPr>
    </w:p>
    <w:p w14:paraId="535D7E35" w14:textId="77777777" w:rsidR="00D97A00" w:rsidRDefault="00D97A00" w:rsidP="00C7424E">
      <w:pPr>
        <w:ind w:left="720" w:hanging="720"/>
        <w:contextualSpacing/>
        <w:rPr>
          <w:szCs w:val="22"/>
          <w:lang w:bidi="en-US"/>
        </w:rPr>
      </w:pPr>
      <w:r w:rsidRPr="00D97A00">
        <w:rPr>
          <w:szCs w:val="22"/>
          <w:lang w:bidi="en-US"/>
        </w:rPr>
        <w:t xml:space="preserve">Dixon-Krauss, L., Byrd, J., Ponce, H., &amp; Bush, B (2011). </w:t>
      </w:r>
      <w:r w:rsidRPr="00D97A00">
        <w:rPr>
          <w:i/>
          <w:szCs w:val="22"/>
          <w:lang w:bidi="en-US"/>
        </w:rPr>
        <w:t>A student teacher observation instrument of general pedagogy</w:t>
      </w:r>
      <w:r w:rsidRPr="00D97A00">
        <w:rPr>
          <w:szCs w:val="22"/>
          <w:lang w:bidi="en-US"/>
        </w:rPr>
        <w:t>. Unpublished manuscript, University of North Texas.</w:t>
      </w:r>
    </w:p>
    <w:p w14:paraId="44BF992F" w14:textId="77777777" w:rsidR="00C7424E" w:rsidRPr="00D97A00" w:rsidRDefault="00C7424E" w:rsidP="00C7424E">
      <w:pPr>
        <w:ind w:left="720" w:hanging="720"/>
        <w:contextualSpacing/>
        <w:rPr>
          <w:szCs w:val="22"/>
          <w:lang w:bidi="en-US"/>
        </w:rPr>
      </w:pPr>
    </w:p>
    <w:p w14:paraId="0564896D" w14:textId="77777777" w:rsidR="00D97A00" w:rsidRDefault="00D97A00" w:rsidP="00C7424E">
      <w:pPr>
        <w:ind w:left="720" w:hanging="720"/>
        <w:contextualSpacing/>
        <w:rPr>
          <w:szCs w:val="22"/>
          <w:lang w:bidi="en-US"/>
        </w:rPr>
      </w:pPr>
      <w:r w:rsidRPr="00D97A00">
        <w:rPr>
          <w:szCs w:val="22"/>
          <w:lang w:bidi="en-US"/>
        </w:rPr>
        <w:t xml:space="preserve">Dixon-Krauss, L., Byrd, J., Ponce, H., &amp; Bush, B. (2012). </w:t>
      </w:r>
      <w:r w:rsidRPr="00D97A00">
        <w:rPr>
          <w:i/>
          <w:szCs w:val="22"/>
          <w:lang w:bidi="en-US"/>
        </w:rPr>
        <w:t>Student teacher observation instrument: Generalist and content pedagogy</w:t>
      </w:r>
      <w:r w:rsidRPr="00D97A00">
        <w:rPr>
          <w:szCs w:val="22"/>
          <w:lang w:bidi="en-US"/>
        </w:rPr>
        <w:t>. Vancouver, BC: American Educational Research Association (Poster Session).</w:t>
      </w:r>
    </w:p>
    <w:p w14:paraId="7CF8DCE8" w14:textId="77777777" w:rsidR="00C7424E" w:rsidRPr="00D97A00" w:rsidRDefault="00C7424E" w:rsidP="00C7424E">
      <w:pPr>
        <w:ind w:left="720" w:hanging="720"/>
        <w:contextualSpacing/>
        <w:rPr>
          <w:szCs w:val="22"/>
          <w:lang w:bidi="en-US"/>
        </w:rPr>
      </w:pPr>
    </w:p>
    <w:p w14:paraId="723FA6F7" w14:textId="77777777" w:rsidR="00D97A00" w:rsidRDefault="00D97A00" w:rsidP="00C7424E">
      <w:pPr>
        <w:ind w:left="720" w:hanging="720"/>
        <w:contextualSpacing/>
        <w:rPr>
          <w:szCs w:val="22"/>
          <w:lang w:bidi="en-US"/>
        </w:rPr>
      </w:pPr>
      <w:r w:rsidRPr="00D97A00">
        <w:rPr>
          <w:szCs w:val="22"/>
          <w:lang w:bidi="en-US"/>
        </w:rPr>
        <w:t xml:space="preserve">Field, A. (2009). </w:t>
      </w:r>
      <w:r w:rsidRPr="00D97A00">
        <w:rPr>
          <w:i/>
          <w:szCs w:val="22"/>
          <w:lang w:bidi="en-US"/>
        </w:rPr>
        <w:t>Discovering statistics using SPSS</w:t>
      </w:r>
      <w:r w:rsidRPr="00D97A00">
        <w:rPr>
          <w:szCs w:val="22"/>
          <w:lang w:bidi="en-US"/>
        </w:rPr>
        <w:t xml:space="preserve"> (3rd ed.). London, England: Sage.</w:t>
      </w:r>
    </w:p>
    <w:p w14:paraId="0EF54725" w14:textId="77777777" w:rsidR="00C7424E" w:rsidRPr="00D97A00" w:rsidRDefault="00C7424E" w:rsidP="00C7424E">
      <w:pPr>
        <w:ind w:left="720" w:hanging="720"/>
        <w:contextualSpacing/>
        <w:rPr>
          <w:szCs w:val="22"/>
          <w:lang w:bidi="en-US"/>
        </w:rPr>
      </w:pPr>
    </w:p>
    <w:p w14:paraId="72B72231" w14:textId="77777777" w:rsidR="00D97A00" w:rsidRDefault="00D97A00" w:rsidP="00C7424E">
      <w:pPr>
        <w:ind w:left="720" w:hanging="720"/>
        <w:contextualSpacing/>
        <w:rPr>
          <w:szCs w:val="22"/>
          <w:lang w:bidi="en-US"/>
        </w:rPr>
      </w:pPr>
      <w:proofErr w:type="spellStart"/>
      <w:r w:rsidRPr="00D97A00">
        <w:rPr>
          <w:szCs w:val="22"/>
          <w:lang w:bidi="en-US"/>
        </w:rPr>
        <w:t>Gareis</w:t>
      </w:r>
      <w:proofErr w:type="spellEnd"/>
      <w:r w:rsidRPr="00D97A00">
        <w:rPr>
          <w:szCs w:val="22"/>
          <w:lang w:bidi="en-US"/>
        </w:rPr>
        <w:t xml:space="preserve">, C. R., &amp; Grant, L. W. (2014). The efficacy of training cooperating teachers. </w:t>
      </w:r>
      <w:r w:rsidRPr="00D97A00">
        <w:rPr>
          <w:i/>
          <w:szCs w:val="22"/>
          <w:lang w:bidi="en-US"/>
        </w:rPr>
        <w:t>Teaching and Teacher Education, 39</w:t>
      </w:r>
      <w:r w:rsidRPr="00D97A00">
        <w:rPr>
          <w:szCs w:val="22"/>
          <w:lang w:bidi="en-US"/>
        </w:rPr>
        <w:t>, 77-88.</w:t>
      </w:r>
    </w:p>
    <w:p w14:paraId="76A7A423" w14:textId="77777777" w:rsidR="00C7424E" w:rsidRPr="00D97A00" w:rsidRDefault="00C7424E" w:rsidP="00C7424E">
      <w:pPr>
        <w:ind w:left="720" w:hanging="720"/>
        <w:contextualSpacing/>
        <w:rPr>
          <w:szCs w:val="22"/>
          <w:lang w:bidi="en-US"/>
        </w:rPr>
      </w:pPr>
    </w:p>
    <w:p w14:paraId="1850DA1D" w14:textId="77777777" w:rsidR="00D97A00" w:rsidRDefault="00D97A00" w:rsidP="00C7424E">
      <w:pPr>
        <w:ind w:left="720" w:hanging="720"/>
        <w:contextualSpacing/>
        <w:rPr>
          <w:szCs w:val="22"/>
          <w:lang w:bidi="en-US"/>
        </w:rPr>
      </w:pPr>
      <w:proofErr w:type="spellStart"/>
      <w:r w:rsidRPr="00D97A00">
        <w:rPr>
          <w:szCs w:val="22"/>
          <w:lang w:bidi="en-US"/>
        </w:rPr>
        <w:t>Gargani</w:t>
      </w:r>
      <w:proofErr w:type="spellEnd"/>
      <w:r w:rsidRPr="00D97A00">
        <w:rPr>
          <w:szCs w:val="22"/>
          <w:lang w:bidi="en-US"/>
        </w:rPr>
        <w:t xml:space="preserve">, J., &amp; Strong, M. (2014). Can we identify a successful teacher, better, faster, and cheaper? Evidence for innovating teacher observation systems. </w:t>
      </w:r>
      <w:r w:rsidRPr="00D97A00">
        <w:rPr>
          <w:i/>
          <w:szCs w:val="22"/>
          <w:lang w:bidi="en-US"/>
        </w:rPr>
        <w:t>Journal of Teacher Education</w:t>
      </w:r>
      <w:r w:rsidRPr="00D97A00">
        <w:rPr>
          <w:szCs w:val="22"/>
          <w:lang w:bidi="en-US"/>
        </w:rPr>
        <w:t xml:space="preserve">, </w:t>
      </w:r>
      <w:r w:rsidRPr="00D97A00">
        <w:rPr>
          <w:i/>
          <w:szCs w:val="22"/>
          <w:lang w:bidi="en-US"/>
        </w:rPr>
        <w:t>65</w:t>
      </w:r>
      <w:r w:rsidRPr="00D97A00">
        <w:rPr>
          <w:szCs w:val="22"/>
          <w:lang w:bidi="en-US"/>
        </w:rPr>
        <w:t>, 389-401.</w:t>
      </w:r>
    </w:p>
    <w:p w14:paraId="70CC46B3" w14:textId="77777777" w:rsidR="00C7424E" w:rsidRPr="00D97A00" w:rsidRDefault="00C7424E" w:rsidP="00C7424E">
      <w:pPr>
        <w:ind w:left="720" w:hanging="720"/>
        <w:contextualSpacing/>
        <w:rPr>
          <w:szCs w:val="22"/>
          <w:lang w:bidi="en-US"/>
        </w:rPr>
      </w:pPr>
    </w:p>
    <w:p w14:paraId="67C13BC2" w14:textId="77777777" w:rsidR="00D97A00" w:rsidRPr="00D97A00" w:rsidRDefault="00D97A00" w:rsidP="00C7424E">
      <w:pPr>
        <w:ind w:left="720" w:hanging="720"/>
        <w:contextualSpacing/>
        <w:rPr>
          <w:szCs w:val="22"/>
          <w:lang w:bidi="en-US"/>
        </w:rPr>
      </w:pPr>
      <w:r w:rsidRPr="00D97A00">
        <w:rPr>
          <w:szCs w:val="22"/>
          <w:lang w:bidi="en-US"/>
        </w:rPr>
        <w:t xml:space="preserve">Henson, R. K. (2006). Effect size measures and meta-analytic thinking in counseling psychology research. </w:t>
      </w:r>
      <w:r w:rsidRPr="00D97A00">
        <w:rPr>
          <w:i/>
          <w:szCs w:val="22"/>
          <w:lang w:bidi="en-US"/>
        </w:rPr>
        <w:t>The Counseling Psychologist</w:t>
      </w:r>
      <w:r w:rsidRPr="00D97A00">
        <w:rPr>
          <w:szCs w:val="22"/>
          <w:lang w:bidi="en-US"/>
        </w:rPr>
        <w:t xml:space="preserve">, </w:t>
      </w:r>
      <w:r w:rsidRPr="00D97A00">
        <w:rPr>
          <w:i/>
          <w:szCs w:val="22"/>
          <w:lang w:bidi="en-US"/>
        </w:rPr>
        <w:t>34</w:t>
      </w:r>
      <w:r w:rsidRPr="00D97A00">
        <w:rPr>
          <w:szCs w:val="22"/>
          <w:lang w:bidi="en-US"/>
        </w:rPr>
        <w:t>, 601-629.</w:t>
      </w:r>
    </w:p>
    <w:p w14:paraId="7B1E6FB1" w14:textId="77777777" w:rsidR="00D97A00" w:rsidRDefault="00D97A00" w:rsidP="00C7424E">
      <w:pPr>
        <w:ind w:left="720" w:hanging="720"/>
        <w:contextualSpacing/>
        <w:rPr>
          <w:szCs w:val="22"/>
          <w:lang w:bidi="en-US"/>
        </w:rPr>
      </w:pPr>
      <w:r w:rsidRPr="00D97A00">
        <w:rPr>
          <w:szCs w:val="22"/>
          <w:lang w:bidi="en-US"/>
        </w:rPr>
        <w:t xml:space="preserve">Kent, S. L. (2001). Supervision of student teachers: Practices of cooperating teachers prepared in a clinical supervision course. </w:t>
      </w:r>
      <w:r w:rsidRPr="00D97A00">
        <w:rPr>
          <w:i/>
          <w:szCs w:val="22"/>
          <w:lang w:bidi="en-US"/>
        </w:rPr>
        <w:t>Journal of Curriculum and Supervision</w:t>
      </w:r>
      <w:r w:rsidRPr="00D97A00">
        <w:rPr>
          <w:szCs w:val="22"/>
          <w:lang w:bidi="en-US"/>
        </w:rPr>
        <w:t xml:space="preserve">, </w:t>
      </w:r>
      <w:r w:rsidRPr="00D97A00">
        <w:rPr>
          <w:i/>
          <w:szCs w:val="22"/>
          <w:lang w:bidi="en-US"/>
        </w:rPr>
        <w:t>16</w:t>
      </w:r>
      <w:r w:rsidRPr="00D97A00">
        <w:rPr>
          <w:szCs w:val="22"/>
          <w:lang w:bidi="en-US"/>
        </w:rPr>
        <w:t>, 228-244.</w:t>
      </w:r>
    </w:p>
    <w:p w14:paraId="59AFE0EB" w14:textId="77777777" w:rsidR="00C7424E" w:rsidRPr="00D97A00" w:rsidRDefault="00C7424E" w:rsidP="00C7424E">
      <w:pPr>
        <w:ind w:left="720" w:hanging="720"/>
        <w:contextualSpacing/>
        <w:rPr>
          <w:szCs w:val="22"/>
          <w:lang w:bidi="en-US"/>
        </w:rPr>
      </w:pPr>
    </w:p>
    <w:p w14:paraId="4B548EE2" w14:textId="77777777" w:rsidR="00D97A00" w:rsidRDefault="00D97A00" w:rsidP="00C7424E">
      <w:pPr>
        <w:ind w:left="720" w:hanging="720"/>
        <w:contextualSpacing/>
        <w:rPr>
          <w:szCs w:val="22"/>
          <w:lang w:bidi="en-US"/>
        </w:rPr>
      </w:pPr>
      <w:r w:rsidRPr="00D97A00">
        <w:rPr>
          <w:szCs w:val="22"/>
          <w:lang w:bidi="en-US"/>
        </w:rPr>
        <w:t xml:space="preserve">Knight, S. L., Lloyd, G. M., </w:t>
      </w:r>
      <w:proofErr w:type="spellStart"/>
      <w:r w:rsidRPr="00D97A00">
        <w:rPr>
          <w:szCs w:val="22"/>
          <w:lang w:bidi="en-US"/>
        </w:rPr>
        <w:t>Arbaugh</w:t>
      </w:r>
      <w:proofErr w:type="spellEnd"/>
      <w:r w:rsidRPr="00D97A00">
        <w:rPr>
          <w:szCs w:val="22"/>
          <w:lang w:bidi="en-US"/>
        </w:rPr>
        <w:t xml:space="preserve">, F., </w:t>
      </w:r>
      <w:proofErr w:type="spellStart"/>
      <w:r w:rsidRPr="00D97A00">
        <w:rPr>
          <w:szCs w:val="22"/>
          <w:lang w:bidi="en-US"/>
        </w:rPr>
        <w:t>Gamson</w:t>
      </w:r>
      <w:proofErr w:type="spellEnd"/>
      <w:r w:rsidRPr="00D97A00">
        <w:rPr>
          <w:szCs w:val="22"/>
          <w:lang w:bidi="en-US"/>
        </w:rPr>
        <w:t xml:space="preserve">, D., McDonald, S. P., Nolan Jr., J., &amp; Whitney, A. E. (2014). Performance assessment of teaching: Implications for teacher education. </w:t>
      </w:r>
      <w:r w:rsidRPr="00D97A00">
        <w:rPr>
          <w:i/>
          <w:szCs w:val="22"/>
          <w:lang w:bidi="en-US"/>
        </w:rPr>
        <w:t>Journal of Teacher Education</w:t>
      </w:r>
      <w:r w:rsidRPr="00D97A00">
        <w:rPr>
          <w:szCs w:val="22"/>
          <w:lang w:bidi="en-US"/>
        </w:rPr>
        <w:t xml:space="preserve">, </w:t>
      </w:r>
      <w:r w:rsidRPr="00D97A00">
        <w:rPr>
          <w:i/>
          <w:szCs w:val="22"/>
          <w:lang w:bidi="en-US"/>
        </w:rPr>
        <w:t>65</w:t>
      </w:r>
      <w:r w:rsidRPr="00D97A00">
        <w:rPr>
          <w:szCs w:val="22"/>
          <w:lang w:bidi="en-US"/>
        </w:rPr>
        <w:t>, 372-374.</w:t>
      </w:r>
    </w:p>
    <w:p w14:paraId="05FA4314" w14:textId="77777777" w:rsidR="00C7424E" w:rsidRPr="00D97A00" w:rsidRDefault="00C7424E" w:rsidP="00C7424E">
      <w:pPr>
        <w:ind w:left="720" w:hanging="720"/>
        <w:contextualSpacing/>
        <w:rPr>
          <w:szCs w:val="22"/>
          <w:lang w:bidi="en-US"/>
        </w:rPr>
      </w:pPr>
    </w:p>
    <w:p w14:paraId="6CEC1AF9" w14:textId="77777777" w:rsidR="00D97A00" w:rsidRDefault="00D97A00" w:rsidP="00C7424E">
      <w:pPr>
        <w:ind w:left="720" w:hanging="720"/>
        <w:contextualSpacing/>
        <w:rPr>
          <w:szCs w:val="22"/>
          <w:lang w:bidi="en-US"/>
        </w:rPr>
      </w:pPr>
      <w:proofErr w:type="spellStart"/>
      <w:r w:rsidRPr="00D97A00">
        <w:rPr>
          <w:szCs w:val="22"/>
          <w:lang w:bidi="en-US"/>
        </w:rPr>
        <w:t>Koc</w:t>
      </w:r>
      <w:proofErr w:type="spellEnd"/>
      <w:r w:rsidRPr="00D97A00">
        <w:rPr>
          <w:szCs w:val="22"/>
          <w:lang w:bidi="en-US"/>
        </w:rPr>
        <w:t xml:space="preserve">, E. M. (2012). Idiographic roles of cooperating teachers as mentors in pre-service distance teacher education. </w:t>
      </w:r>
      <w:r w:rsidRPr="00D97A00">
        <w:rPr>
          <w:i/>
          <w:szCs w:val="22"/>
          <w:lang w:bidi="en-US"/>
        </w:rPr>
        <w:t>Teaching and Teacher Education</w:t>
      </w:r>
      <w:r w:rsidRPr="00D97A00">
        <w:rPr>
          <w:szCs w:val="22"/>
          <w:lang w:bidi="en-US"/>
        </w:rPr>
        <w:t xml:space="preserve">, </w:t>
      </w:r>
      <w:r w:rsidRPr="00D97A00">
        <w:rPr>
          <w:i/>
          <w:szCs w:val="22"/>
          <w:lang w:bidi="en-US"/>
        </w:rPr>
        <w:t>28</w:t>
      </w:r>
      <w:r w:rsidRPr="00D97A00">
        <w:rPr>
          <w:szCs w:val="22"/>
          <w:lang w:bidi="en-US"/>
        </w:rPr>
        <w:t>, 818-826.</w:t>
      </w:r>
    </w:p>
    <w:p w14:paraId="38D3B1F3" w14:textId="77777777" w:rsidR="00C7424E" w:rsidRPr="00D97A00" w:rsidRDefault="00C7424E" w:rsidP="00C7424E">
      <w:pPr>
        <w:ind w:left="720" w:hanging="720"/>
        <w:contextualSpacing/>
        <w:rPr>
          <w:szCs w:val="22"/>
          <w:lang w:bidi="en-US"/>
        </w:rPr>
      </w:pPr>
    </w:p>
    <w:p w14:paraId="2C5E9BE8" w14:textId="77777777" w:rsidR="00D97A00" w:rsidRDefault="00D97A00" w:rsidP="00C7424E">
      <w:pPr>
        <w:ind w:left="720" w:hanging="720"/>
        <w:contextualSpacing/>
        <w:rPr>
          <w:szCs w:val="22"/>
          <w:lang w:bidi="en-US"/>
        </w:rPr>
      </w:pPr>
      <w:r w:rsidRPr="00D97A00">
        <w:rPr>
          <w:szCs w:val="22"/>
          <w:lang w:bidi="en-US"/>
        </w:rPr>
        <w:t xml:space="preserve">Margolis, J., &amp; </w:t>
      </w:r>
      <w:proofErr w:type="spellStart"/>
      <w:r w:rsidRPr="00D97A00">
        <w:rPr>
          <w:szCs w:val="22"/>
          <w:lang w:bidi="en-US"/>
        </w:rPr>
        <w:t>Doring</w:t>
      </w:r>
      <w:proofErr w:type="spellEnd"/>
      <w:r w:rsidRPr="00D97A00">
        <w:rPr>
          <w:szCs w:val="22"/>
          <w:lang w:bidi="en-US"/>
        </w:rPr>
        <w:t xml:space="preserve">, A. (2013). National assessments for student teachers: Documenting teaching readiness to the tipping point. </w:t>
      </w:r>
      <w:r w:rsidRPr="00D97A00">
        <w:rPr>
          <w:i/>
          <w:szCs w:val="22"/>
          <w:lang w:bidi="en-US"/>
        </w:rPr>
        <w:t>Action in Teacher Education</w:t>
      </w:r>
      <w:r w:rsidRPr="00D97A00">
        <w:rPr>
          <w:szCs w:val="22"/>
          <w:lang w:bidi="en-US"/>
        </w:rPr>
        <w:t xml:space="preserve">, </w:t>
      </w:r>
      <w:r w:rsidRPr="00D97A00">
        <w:rPr>
          <w:i/>
          <w:szCs w:val="22"/>
          <w:lang w:bidi="en-US"/>
        </w:rPr>
        <w:t>35</w:t>
      </w:r>
      <w:r w:rsidRPr="00D97A00">
        <w:rPr>
          <w:szCs w:val="22"/>
          <w:lang w:bidi="en-US"/>
        </w:rPr>
        <w:t>, 272-285.</w:t>
      </w:r>
    </w:p>
    <w:p w14:paraId="448FEAF3" w14:textId="77777777" w:rsidR="00C7424E" w:rsidRPr="00D97A00" w:rsidRDefault="00C7424E" w:rsidP="00C7424E">
      <w:pPr>
        <w:ind w:left="720" w:hanging="720"/>
        <w:contextualSpacing/>
        <w:rPr>
          <w:szCs w:val="22"/>
          <w:lang w:bidi="en-US"/>
        </w:rPr>
      </w:pPr>
    </w:p>
    <w:p w14:paraId="603533AF" w14:textId="77777777" w:rsidR="00D97A00" w:rsidRDefault="00D97A00" w:rsidP="00C7424E">
      <w:pPr>
        <w:ind w:left="720" w:hanging="720"/>
        <w:contextualSpacing/>
        <w:rPr>
          <w:szCs w:val="22"/>
          <w:lang w:bidi="en-US"/>
        </w:rPr>
      </w:pPr>
      <w:r w:rsidRPr="00D97A00">
        <w:rPr>
          <w:szCs w:val="22"/>
          <w:lang w:bidi="en-US"/>
        </w:rPr>
        <w:t>Murray, F. B. (2013). Cooperating teachers’ evaluation of accredited teacher education programs</w:t>
      </w:r>
      <w:r w:rsidRPr="00D97A00">
        <w:rPr>
          <w:i/>
          <w:szCs w:val="22"/>
          <w:lang w:bidi="en-US"/>
        </w:rPr>
        <w:t>. Teacher Education &amp; Practice</w:t>
      </w:r>
      <w:r w:rsidRPr="00D97A00">
        <w:rPr>
          <w:szCs w:val="22"/>
          <w:lang w:bidi="en-US"/>
        </w:rPr>
        <w:t xml:space="preserve">, </w:t>
      </w:r>
      <w:r w:rsidRPr="00D97A00">
        <w:rPr>
          <w:i/>
          <w:szCs w:val="22"/>
          <w:lang w:bidi="en-US"/>
        </w:rPr>
        <w:t>26</w:t>
      </w:r>
      <w:r w:rsidRPr="00D97A00">
        <w:rPr>
          <w:szCs w:val="22"/>
          <w:lang w:bidi="en-US"/>
        </w:rPr>
        <w:t>, 542-553.</w:t>
      </w:r>
    </w:p>
    <w:p w14:paraId="740C9E62" w14:textId="77777777" w:rsidR="00C7424E" w:rsidRPr="00D97A00" w:rsidRDefault="00C7424E" w:rsidP="00C7424E">
      <w:pPr>
        <w:ind w:left="720" w:hanging="720"/>
        <w:contextualSpacing/>
        <w:rPr>
          <w:szCs w:val="22"/>
          <w:lang w:bidi="en-US"/>
        </w:rPr>
      </w:pPr>
    </w:p>
    <w:p w14:paraId="2324FF54" w14:textId="77777777" w:rsidR="00D97A00" w:rsidRDefault="00D97A00" w:rsidP="00C7424E">
      <w:pPr>
        <w:ind w:left="720" w:hanging="720"/>
        <w:contextualSpacing/>
        <w:rPr>
          <w:szCs w:val="22"/>
          <w:lang w:bidi="en-US"/>
        </w:rPr>
      </w:pPr>
      <w:r w:rsidRPr="00D97A00">
        <w:rPr>
          <w:szCs w:val="22"/>
          <w:lang w:bidi="en-US"/>
        </w:rPr>
        <w:t xml:space="preserve">Osborne, J. W. (2013). </w:t>
      </w:r>
      <w:r w:rsidRPr="00D97A00">
        <w:rPr>
          <w:i/>
          <w:szCs w:val="22"/>
          <w:lang w:bidi="en-US"/>
        </w:rPr>
        <w:t>Best practices in data cleaning: A complete guide to everything you need to do before and after collecting data</w:t>
      </w:r>
      <w:r w:rsidRPr="00D97A00">
        <w:rPr>
          <w:szCs w:val="22"/>
          <w:lang w:bidi="en-US"/>
        </w:rPr>
        <w:t>. Los Angeles, CA: Sage.</w:t>
      </w:r>
    </w:p>
    <w:p w14:paraId="5D63F861" w14:textId="77777777" w:rsidR="00C7424E" w:rsidRPr="00D97A00" w:rsidRDefault="00C7424E" w:rsidP="00C7424E">
      <w:pPr>
        <w:ind w:left="720" w:hanging="720"/>
        <w:contextualSpacing/>
        <w:rPr>
          <w:szCs w:val="22"/>
          <w:lang w:bidi="en-US"/>
        </w:rPr>
      </w:pPr>
    </w:p>
    <w:p w14:paraId="5F3C8A49" w14:textId="77777777" w:rsidR="00D97A00" w:rsidRDefault="00D97A00" w:rsidP="00C7424E">
      <w:pPr>
        <w:ind w:left="720" w:hanging="720"/>
        <w:contextualSpacing/>
        <w:rPr>
          <w:szCs w:val="22"/>
          <w:lang w:bidi="en-US"/>
        </w:rPr>
      </w:pPr>
      <w:r w:rsidRPr="00D97A00">
        <w:rPr>
          <w:szCs w:val="22"/>
          <w:lang w:bidi="en-US"/>
        </w:rPr>
        <w:t xml:space="preserve">Phelps, L., Schmitz, C. D., &amp; Boatright, B. (1986). The effects of halo and leniency on cooperating teacher reports using Likert-type rating scales. </w:t>
      </w:r>
      <w:r w:rsidRPr="00D97A00">
        <w:rPr>
          <w:i/>
          <w:szCs w:val="22"/>
          <w:lang w:bidi="en-US"/>
        </w:rPr>
        <w:t>Journal of Educational Research</w:t>
      </w:r>
      <w:r w:rsidRPr="00D97A00">
        <w:rPr>
          <w:szCs w:val="22"/>
          <w:lang w:bidi="en-US"/>
        </w:rPr>
        <w:t xml:space="preserve">, </w:t>
      </w:r>
      <w:r w:rsidRPr="00D97A00">
        <w:rPr>
          <w:i/>
          <w:szCs w:val="22"/>
          <w:lang w:bidi="en-US"/>
        </w:rPr>
        <w:t>79</w:t>
      </w:r>
      <w:r w:rsidRPr="00D97A00">
        <w:rPr>
          <w:szCs w:val="22"/>
          <w:lang w:bidi="en-US"/>
        </w:rPr>
        <w:t>, 151-154.</w:t>
      </w:r>
    </w:p>
    <w:p w14:paraId="309205B0" w14:textId="77777777" w:rsidR="00C7424E" w:rsidRPr="00D97A00" w:rsidRDefault="00C7424E" w:rsidP="00C7424E">
      <w:pPr>
        <w:ind w:left="720" w:hanging="720"/>
        <w:contextualSpacing/>
        <w:rPr>
          <w:szCs w:val="22"/>
          <w:lang w:bidi="en-US"/>
        </w:rPr>
      </w:pPr>
    </w:p>
    <w:p w14:paraId="6CF0EB61" w14:textId="77777777" w:rsidR="00D97A00" w:rsidRDefault="00D97A00" w:rsidP="00C7424E">
      <w:pPr>
        <w:ind w:left="720" w:hanging="720"/>
        <w:contextualSpacing/>
        <w:rPr>
          <w:szCs w:val="22"/>
          <w:lang w:bidi="en-US"/>
        </w:rPr>
      </w:pPr>
      <w:r w:rsidRPr="00D97A00">
        <w:rPr>
          <w:szCs w:val="22"/>
          <w:lang w:bidi="en-US"/>
        </w:rPr>
        <w:t xml:space="preserve">Phelps, L., Schmitz, C. D., &amp; Wade, D. L. (1986). A performance-based cooperating teacher report. </w:t>
      </w:r>
      <w:r w:rsidRPr="00D97A00">
        <w:rPr>
          <w:i/>
          <w:szCs w:val="22"/>
          <w:lang w:bidi="en-US"/>
        </w:rPr>
        <w:t>Journal of Teacher Education</w:t>
      </w:r>
      <w:r w:rsidRPr="00D97A00">
        <w:rPr>
          <w:szCs w:val="22"/>
          <w:lang w:bidi="en-US"/>
        </w:rPr>
        <w:t xml:space="preserve">, </w:t>
      </w:r>
      <w:r w:rsidRPr="00D97A00">
        <w:rPr>
          <w:i/>
          <w:szCs w:val="22"/>
          <w:lang w:bidi="en-US"/>
        </w:rPr>
        <w:t>37</w:t>
      </w:r>
      <w:r w:rsidRPr="00D97A00">
        <w:rPr>
          <w:szCs w:val="22"/>
          <w:lang w:bidi="en-US"/>
        </w:rPr>
        <w:t>, 32-35.</w:t>
      </w:r>
    </w:p>
    <w:p w14:paraId="7182DC26" w14:textId="77777777" w:rsidR="002A7F0A" w:rsidRPr="00D97A00" w:rsidRDefault="002A7F0A" w:rsidP="00C7424E">
      <w:pPr>
        <w:ind w:left="720" w:hanging="720"/>
        <w:contextualSpacing/>
        <w:rPr>
          <w:szCs w:val="22"/>
          <w:lang w:bidi="en-US"/>
        </w:rPr>
      </w:pPr>
    </w:p>
    <w:p w14:paraId="44449E02" w14:textId="77777777" w:rsidR="00D97A00" w:rsidRDefault="00D97A00" w:rsidP="00C7424E">
      <w:pPr>
        <w:ind w:left="720" w:hanging="720"/>
        <w:contextualSpacing/>
        <w:rPr>
          <w:szCs w:val="22"/>
          <w:lang w:bidi="en-US"/>
        </w:rPr>
      </w:pPr>
      <w:proofErr w:type="spellStart"/>
      <w:r w:rsidRPr="00D97A00">
        <w:rPr>
          <w:szCs w:val="22"/>
          <w:lang w:bidi="en-US"/>
        </w:rPr>
        <w:t>Raths</w:t>
      </w:r>
      <w:proofErr w:type="spellEnd"/>
      <w:r w:rsidRPr="00D97A00">
        <w:rPr>
          <w:szCs w:val="22"/>
          <w:lang w:bidi="en-US"/>
        </w:rPr>
        <w:t xml:space="preserve">, J., &amp; Lyman, F. (2003). Summative evaluation of student teachers: An enduring problem. </w:t>
      </w:r>
      <w:r w:rsidRPr="00D97A00">
        <w:rPr>
          <w:i/>
          <w:szCs w:val="22"/>
          <w:lang w:bidi="en-US"/>
        </w:rPr>
        <w:t>Journal of Teacher Education</w:t>
      </w:r>
      <w:r w:rsidRPr="00D97A00">
        <w:rPr>
          <w:szCs w:val="22"/>
          <w:lang w:bidi="en-US"/>
        </w:rPr>
        <w:t xml:space="preserve">, </w:t>
      </w:r>
      <w:r w:rsidRPr="00D97A00">
        <w:rPr>
          <w:i/>
          <w:szCs w:val="22"/>
          <w:lang w:bidi="en-US"/>
        </w:rPr>
        <w:t>54</w:t>
      </w:r>
      <w:r w:rsidRPr="00D97A00">
        <w:rPr>
          <w:szCs w:val="22"/>
          <w:lang w:bidi="en-US"/>
        </w:rPr>
        <w:t>, 206-2016.</w:t>
      </w:r>
    </w:p>
    <w:p w14:paraId="176E847A" w14:textId="77777777" w:rsidR="002A7F0A" w:rsidRPr="00D97A00" w:rsidRDefault="002A7F0A" w:rsidP="00C7424E">
      <w:pPr>
        <w:ind w:left="720" w:hanging="720"/>
        <w:contextualSpacing/>
        <w:rPr>
          <w:szCs w:val="22"/>
          <w:lang w:bidi="en-US"/>
        </w:rPr>
      </w:pPr>
    </w:p>
    <w:p w14:paraId="05DCF652" w14:textId="77777777" w:rsidR="00D97A00" w:rsidRDefault="00D97A00" w:rsidP="00C7424E">
      <w:pPr>
        <w:ind w:left="720" w:hanging="720"/>
        <w:contextualSpacing/>
        <w:rPr>
          <w:szCs w:val="22"/>
          <w:lang w:bidi="en-US"/>
        </w:rPr>
      </w:pPr>
      <w:proofErr w:type="spellStart"/>
      <w:r w:rsidRPr="00D97A00">
        <w:rPr>
          <w:szCs w:val="22"/>
          <w:lang w:bidi="en-US"/>
        </w:rPr>
        <w:t>Rozelle</w:t>
      </w:r>
      <w:proofErr w:type="spellEnd"/>
      <w:r w:rsidRPr="00D97A00">
        <w:rPr>
          <w:szCs w:val="22"/>
          <w:lang w:bidi="en-US"/>
        </w:rPr>
        <w:t xml:space="preserve">, J. J., &amp; Wilson, S. M. (2012). Opening the black box of field experiences: How cooperating teachers’ beliefs and practices shape student teachers’ beliefs and practices. </w:t>
      </w:r>
      <w:r w:rsidRPr="00D97A00">
        <w:rPr>
          <w:i/>
          <w:szCs w:val="22"/>
          <w:lang w:bidi="en-US"/>
        </w:rPr>
        <w:t>Teaching and Teacher Education</w:t>
      </w:r>
      <w:r w:rsidRPr="00D97A00">
        <w:rPr>
          <w:szCs w:val="22"/>
          <w:lang w:bidi="en-US"/>
        </w:rPr>
        <w:t xml:space="preserve">, </w:t>
      </w:r>
      <w:r w:rsidRPr="00D97A00">
        <w:rPr>
          <w:i/>
          <w:szCs w:val="22"/>
          <w:lang w:bidi="en-US"/>
        </w:rPr>
        <w:t>28</w:t>
      </w:r>
      <w:r w:rsidRPr="00D97A00">
        <w:rPr>
          <w:szCs w:val="22"/>
          <w:lang w:bidi="en-US"/>
        </w:rPr>
        <w:t>, 1196-1205.</w:t>
      </w:r>
    </w:p>
    <w:p w14:paraId="08E24B89" w14:textId="77777777" w:rsidR="002A7F0A" w:rsidRPr="00D97A00" w:rsidRDefault="002A7F0A" w:rsidP="00C7424E">
      <w:pPr>
        <w:ind w:left="720" w:hanging="720"/>
        <w:contextualSpacing/>
        <w:rPr>
          <w:szCs w:val="22"/>
          <w:lang w:bidi="en-US"/>
        </w:rPr>
      </w:pPr>
    </w:p>
    <w:p w14:paraId="6C786C88" w14:textId="77777777" w:rsidR="00D97A00" w:rsidRDefault="00D97A00" w:rsidP="00C7424E">
      <w:pPr>
        <w:ind w:left="720" w:hanging="720"/>
        <w:contextualSpacing/>
        <w:rPr>
          <w:szCs w:val="22"/>
          <w:lang w:bidi="en-US"/>
        </w:rPr>
      </w:pPr>
      <w:r w:rsidRPr="00D97A00">
        <w:rPr>
          <w:szCs w:val="22"/>
          <w:lang w:bidi="en-US"/>
        </w:rPr>
        <w:t xml:space="preserve">Sanders, M., Dowson, M., &amp; Sinclair, C. (2005). What do associate teachers do anyway? A comparison of theoretical conceptualizations in literature and observed practices in the field. </w:t>
      </w:r>
      <w:r w:rsidRPr="00D97A00">
        <w:rPr>
          <w:i/>
          <w:szCs w:val="22"/>
          <w:lang w:bidi="en-US"/>
        </w:rPr>
        <w:t>Teacher College Record</w:t>
      </w:r>
      <w:r w:rsidRPr="00D97A00">
        <w:rPr>
          <w:szCs w:val="22"/>
          <w:lang w:bidi="en-US"/>
        </w:rPr>
        <w:t xml:space="preserve">, </w:t>
      </w:r>
      <w:r w:rsidRPr="00D97A00">
        <w:rPr>
          <w:i/>
          <w:szCs w:val="22"/>
          <w:lang w:bidi="en-US"/>
        </w:rPr>
        <w:t>107</w:t>
      </w:r>
      <w:r w:rsidRPr="00D97A00">
        <w:rPr>
          <w:szCs w:val="22"/>
          <w:lang w:bidi="en-US"/>
        </w:rPr>
        <w:t>, 706-738.</w:t>
      </w:r>
    </w:p>
    <w:p w14:paraId="62E88C39" w14:textId="77777777" w:rsidR="002A7F0A" w:rsidRPr="00D97A00" w:rsidRDefault="002A7F0A" w:rsidP="00C7424E">
      <w:pPr>
        <w:ind w:left="720" w:hanging="720"/>
        <w:contextualSpacing/>
        <w:rPr>
          <w:szCs w:val="22"/>
          <w:lang w:bidi="en-US"/>
        </w:rPr>
      </w:pPr>
    </w:p>
    <w:p w14:paraId="0E58596D" w14:textId="77777777" w:rsidR="00D97A00" w:rsidRDefault="00D97A00" w:rsidP="00C7424E">
      <w:pPr>
        <w:ind w:left="720" w:hanging="720"/>
        <w:contextualSpacing/>
        <w:rPr>
          <w:szCs w:val="22"/>
          <w:lang w:bidi="en-US"/>
        </w:rPr>
      </w:pPr>
      <w:proofErr w:type="spellStart"/>
      <w:r w:rsidRPr="00D97A00">
        <w:rPr>
          <w:szCs w:val="22"/>
          <w:lang w:bidi="en-US"/>
        </w:rPr>
        <w:t>Sandholtz</w:t>
      </w:r>
      <w:proofErr w:type="spellEnd"/>
      <w:r w:rsidRPr="00D97A00">
        <w:rPr>
          <w:szCs w:val="22"/>
          <w:lang w:bidi="en-US"/>
        </w:rPr>
        <w:t xml:space="preserve">, J. H., &amp; Shea, L. M. (2012). Predicting performance: A comparison of university supervisors’ predictions and teacher candidates’ scores on a teaching performance assessment. </w:t>
      </w:r>
      <w:r w:rsidRPr="00D97A00">
        <w:rPr>
          <w:i/>
          <w:szCs w:val="22"/>
          <w:lang w:bidi="en-US"/>
        </w:rPr>
        <w:t>Journal of Teacher Education</w:t>
      </w:r>
      <w:r w:rsidRPr="00D97A00">
        <w:rPr>
          <w:szCs w:val="22"/>
          <w:lang w:bidi="en-US"/>
        </w:rPr>
        <w:t xml:space="preserve">, </w:t>
      </w:r>
      <w:r w:rsidRPr="00D97A00">
        <w:rPr>
          <w:i/>
          <w:szCs w:val="22"/>
          <w:lang w:bidi="en-US"/>
        </w:rPr>
        <w:t>63</w:t>
      </w:r>
      <w:r w:rsidRPr="00D97A00">
        <w:rPr>
          <w:szCs w:val="22"/>
          <w:lang w:bidi="en-US"/>
        </w:rPr>
        <w:t>, 39-50</w:t>
      </w:r>
      <w:r w:rsidR="002A7F0A">
        <w:rPr>
          <w:szCs w:val="22"/>
          <w:lang w:bidi="en-US"/>
        </w:rPr>
        <w:t>.</w:t>
      </w:r>
    </w:p>
    <w:p w14:paraId="6E6B6198" w14:textId="77777777" w:rsidR="002A7F0A" w:rsidRPr="00D97A00" w:rsidRDefault="002A7F0A" w:rsidP="00C7424E">
      <w:pPr>
        <w:ind w:left="720" w:hanging="720"/>
        <w:contextualSpacing/>
        <w:rPr>
          <w:szCs w:val="22"/>
          <w:lang w:bidi="en-US"/>
        </w:rPr>
      </w:pPr>
    </w:p>
    <w:p w14:paraId="288BEA7F" w14:textId="77777777" w:rsidR="00D97A00" w:rsidRDefault="00D97A00" w:rsidP="00C7424E">
      <w:pPr>
        <w:ind w:left="720" w:hanging="720"/>
        <w:contextualSpacing/>
        <w:rPr>
          <w:szCs w:val="22"/>
          <w:lang w:bidi="en-US"/>
        </w:rPr>
      </w:pPr>
      <w:r w:rsidRPr="00D97A00">
        <w:rPr>
          <w:szCs w:val="22"/>
          <w:lang w:bidi="en-US"/>
        </w:rPr>
        <w:t xml:space="preserve">Slick, S. K. (1997). Assessing versus assisting: The supervisor’s roles in the complex dynamics of the student teaching triad. </w:t>
      </w:r>
      <w:r w:rsidRPr="00D97A00">
        <w:rPr>
          <w:i/>
          <w:szCs w:val="22"/>
          <w:lang w:bidi="en-US"/>
        </w:rPr>
        <w:t>Teaching and Teacher Education</w:t>
      </w:r>
      <w:r w:rsidRPr="00D97A00">
        <w:rPr>
          <w:szCs w:val="22"/>
          <w:lang w:bidi="en-US"/>
        </w:rPr>
        <w:t>,</w:t>
      </w:r>
      <w:r w:rsidRPr="00D97A00">
        <w:rPr>
          <w:i/>
          <w:szCs w:val="22"/>
          <w:lang w:bidi="en-US"/>
        </w:rPr>
        <w:t xml:space="preserve"> 13</w:t>
      </w:r>
      <w:r w:rsidRPr="00D97A00">
        <w:rPr>
          <w:szCs w:val="22"/>
          <w:lang w:bidi="en-US"/>
        </w:rPr>
        <w:t>, 713-726.</w:t>
      </w:r>
    </w:p>
    <w:p w14:paraId="1AAFE1BB" w14:textId="77777777" w:rsidR="002A7F0A" w:rsidRPr="00D97A00" w:rsidRDefault="002A7F0A" w:rsidP="00C7424E">
      <w:pPr>
        <w:ind w:left="720" w:hanging="720"/>
        <w:contextualSpacing/>
        <w:rPr>
          <w:szCs w:val="22"/>
          <w:lang w:bidi="en-US"/>
        </w:rPr>
      </w:pPr>
    </w:p>
    <w:p w14:paraId="6873835F" w14:textId="77777777" w:rsidR="00D97A00" w:rsidRPr="00D97A00" w:rsidRDefault="00D97A00" w:rsidP="00C7424E">
      <w:pPr>
        <w:ind w:left="720" w:hanging="720"/>
        <w:contextualSpacing/>
        <w:rPr>
          <w:szCs w:val="22"/>
          <w:lang w:bidi="en-US"/>
        </w:rPr>
      </w:pPr>
      <w:r w:rsidRPr="00D97A00">
        <w:rPr>
          <w:szCs w:val="22"/>
          <w:lang w:bidi="en-US"/>
        </w:rPr>
        <w:t xml:space="preserve">Slick, S. K. (1998). The university supervisor: A disenfranchised outsider. </w:t>
      </w:r>
      <w:r w:rsidRPr="00D97A00">
        <w:rPr>
          <w:i/>
          <w:szCs w:val="22"/>
          <w:lang w:bidi="en-US"/>
        </w:rPr>
        <w:t>Teaching and Teacher Education</w:t>
      </w:r>
      <w:r w:rsidRPr="00D97A00">
        <w:rPr>
          <w:szCs w:val="22"/>
          <w:lang w:bidi="en-US"/>
        </w:rPr>
        <w:t xml:space="preserve">, </w:t>
      </w:r>
      <w:r w:rsidRPr="00D97A00">
        <w:rPr>
          <w:i/>
          <w:szCs w:val="22"/>
          <w:lang w:bidi="en-US"/>
        </w:rPr>
        <w:t>14</w:t>
      </w:r>
      <w:r w:rsidRPr="00D97A00">
        <w:rPr>
          <w:szCs w:val="22"/>
          <w:lang w:bidi="en-US"/>
        </w:rPr>
        <w:t>, 821-834.</w:t>
      </w:r>
    </w:p>
    <w:p w14:paraId="3283B572" w14:textId="77777777" w:rsidR="00D97A00" w:rsidRDefault="00D97A00" w:rsidP="00C7424E">
      <w:pPr>
        <w:ind w:left="720" w:hanging="720"/>
        <w:contextualSpacing/>
        <w:rPr>
          <w:szCs w:val="22"/>
          <w:lang w:bidi="en-US"/>
        </w:rPr>
      </w:pPr>
      <w:r w:rsidRPr="00D97A00">
        <w:rPr>
          <w:szCs w:val="22"/>
          <w:lang w:bidi="en-US"/>
        </w:rPr>
        <w:t xml:space="preserve">Strong, M., </w:t>
      </w:r>
      <w:proofErr w:type="spellStart"/>
      <w:r w:rsidRPr="00D97A00">
        <w:rPr>
          <w:szCs w:val="22"/>
          <w:lang w:bidi="en-US"/>
        </w:rPr>
        <w:t>Gargani</w:t>
      </w:r>
      <w:proofErr w:type="spellEnd"/>
      <w:r w:rsidRPr="00D97A00">
        <w:rPr>
          <w:szCs w:val="22"/>
          <w:lang w:bidi="en-US"/>
        </w:rPr>
        <w:t xml:space="preserve">, J., &amp; </w:t>
      </w:r>
      <w:proofErr w:type="spellStart"/>
      <w:r w:rsidRPr="00D97A00">
        <w:rPr>
          <w:szCs w:val="22"/>
          <w:lang w:bidi="en-US"/>
        </w:rPr>
        <w:t>Hacifazlioğlu</w:t>
      </w:r>
      <w:proofErr w:type="spellEnd"/>
      <w:r w:rsidRPr="00D97A00">
        <w:rPr>
          <w:szCs w:val="22"/>
          <w:lang w:bidi="en-US"/>
        </w:rPr>
        <w:t xml:space="preserve">, Ö. (2011). Do we know a successful teacher when we see one? Experiments in the identification of effective teachers. </w:t>
      </w:r>
      <w:r w:rsidRPr="00D97A00">
        <w:rPr>
          <w:i/>
          <w:szCs w:val="22"/>
          <w:lang w:bidi="en-US"/>
        </w:rPr>
        <w:t>Journal of Teacher Education</w:t>
      </w:r>
      <w:r w:rsidRPr="00D97A00">
        <w:rPr>
          <w:szCs w:val="22"/>
          <w:lang w:bidi="en-US"/>
        </w:rPr>
        <w:t xml:space="preserve">, </w:t>
      </w:r>
      <w:r w:rsidRPr="00D97A00">
        <w:rPr>
          <w:i/>
          <w:szCs w:val="22"/>
          <w:lang w:bidi="en-US"/>
        </w:rPr>
        <w:t>62</w:t>
      </w:r>
      <w:r w:rsidRPr="00D97A00">
        <w:rPr>
          <w:szCs w:val="22"/>
          <w:lang w:bidi="en-US"/>
        </w:rPr>
        <w:t>, 367-382.</w:t>
      </w:r>
    </w:p>
    <w:p w14:paraId="01D49967" w14:textId="77777777" w:rsidR="002A7F0A" w:rsidRPr="00D97A00" w:rsidRDefault="002A7F0A" w:rsidP="00C7424E">
      <w:pPr>
        <w:ind w:left="720" w:hanging="720"/>
        <w:contextualSpacing/>
        <w:rPr>
          <w:szCs w:val="22"/>
          <w:lang w:bidi="en-US"/>
        </w:rPr>
      </w:pPr>
    </w:p>
    <w:p w14:paraId="540DC6BB" w14:textId="77777777" w:rsidR="00D97A00" w:rsidRDefault="00D97A00" w:rsidP="00C7424E">
      <w:pPr>
        <w:ind w:left="720" w:hanging="720"/>
        <w:contextualSpacing/>
        <w:rPr>
          <w:szCs w:val="22"/>
          <w:lang w:bidi="en-US"/>
        </w:rPr>
      </w:pPr>
      <w:r w:rsidRPr="00D97A00">
        <w:rPr>
          <w:szCs w:val="22"/>
          <w:lang w:bidi="en-US"/>
        </w:rPr>
        <w:t xml:space="preserve">Torrez, C. A. F., &amp; Krebs, M. M. (2012). Expert voices: What cooperating teachers and teacher candidates say about quality student teaching placements and experiences. </w:t>
      </w:r>
      <w:r w:rsidRPr="00D97A00">
        <w:rPr>
          <w:i/>
          <w:szCs w:val="22"/>
          <w:lang w:bidi="en-US"/>
        </w:rPr>
        <w:t>Action in Teacher Education</w:t>
      </w:r>
      <w:r w:rsidRPr="00D97A00">
        <w:rPr>
          <w:szCs w:val="22"/>
          <w:lang w:bidi="en-US"/>
        </w:rPr>
        <w:t xml:space="preserve">, </w:t>
      </w:r>
      <w:r w:rsidRPr="00D97A00">
        <w:rPr>
          <w:i/>
          <w:szCs w:val="22"/>
          <w:lang w:bidi="en-US"/>
        </w:rPr>
        <w:t>34</w:t>
      </w:r>
      <w:r w:rsidRPr="00D97A00">
        <w:rPr>
          <w:szCs w:val="22"/>
          <w:lang w:bidi="en-US"/>
        </w:rPr>
        <w:t>, 485-499.</w:t>
      </w:r>
    </w:p>
    <w:p w14:paraId="2F8DC443" w14:textId="77777777" w:rsidR="002A7F0A" w:rsidRPr="00D97A00" w:rsidRDefault="002A7F0A" w:rsidP="00C7424E">
      <w:pPr>
        <w:ind w:left="720" w:hanging="720"/>
        <w:contextualSpacing/>
        <w:rPr>
          <w:szCs w:val="22"/>
          <w:lang w:bidi="en-US"/>
        </w:rPr>
      </w:pPr>
    </w:p>
    <w:p w14:paraId="6CAEFE07" w14:textId="77777777" w:rsidR="00D97A00" w:rsidRDefault="00D97A00" w:rsidP="00C7424E">
      <w:pPr>
        <w:ind w:left="720" w:hanging="720"/>
        <w:contextualSpacing/>
        <w:rPr>
          <w:szCs w:val="22"/>
          <w:lang w:bidi="en-US"/>
        </w:rPr>
      </w:pPr>
      <w:r w:rsidRPr="00D97A00">
        <w:rPr>
          <w:szCs w:val="22"/>
          <w:lang w:bidi="en-US"/>
        </w:rPr>
        <w:t xml:space="preserve">Tukey, J. W. (1977). </w:t>
      </w:r>
      <w:r w:rsidRPr="00D97A00">
        <w:rPr>
          <w:i/>
          <w:szCs w:val="22"/>
          <w:lang w:bidi="en-US"/>
        </w:rPr>
        <w:t>Exploratory data analysis</w:t>
      </w:r>
      <w:r w:rsidRPr="00D97A00">
        <w:rPr>
          <w:szCs w:val="22"/>
          <w:lang w:bidi="en-US"/>
        </w:rPr>
        <w:t>. Reading, MA: Addison-Wesley.</w:t>
      </w:r>
    </w:p>
    <w:p w14:paraId="10543B85" w14:textId="77777777" w:rsidR="002A7F0A" w:rsidRPr="00D97A00" w:rsidRDefault="002A7F0A" w:rsidP="00C7424E">
      <w:pPr>
        <w:ind w:left="720" w:hanging="720"/>
        <w:contextualSpacing/>
        <w:rPr>
          <w:szCs w:val="22"/>
          <w:lang w:bidi="en-US"/>
        </w:rPr>
      </w:pPr>
    </w:p>
    <w:p w14:paraId="0A7C233A" w14:textId="77777777" w:rsidR="00D97A00" w:rsidRDefault="00D97A00" w:rsidP="00C7424E">
      <w:pPr>
        <w:ind w:left="720" w:hanging="720"/>
        <w:contextualSpacing/>
        <w:rPr>
          <w:szCs w:val="22"/>
          <w:lang w:bidi="en-US"/>
        </w:rPr>
      </w:pPr>
      <w:r w:rsidRPr="00D97A00">
        <w:rPr>
          <w:szCs w:val="22"/>
          <w:lang w:bidi="en-US"/>
        </w:rPr>
        <w:t xml:space="preserve">Valencia, S. W., Martin, S. D., Place, N. A., &amp; Grossman, P. (2009). Complex interactions in student teaching: Lost opportunities for learning. </w:t>
      </w:r>
      <w:r w:rsidRPr="00D97A00">
        <w:rPr>
          <w:i/>
          <w:szCs w:val="22"/>
          <w:lang w:bidi="en-US"/>
        </w:rPr>
        <w:t>Journal of Teacher Education</w:t>
      </w:r>
      <w:r w:rsidRPr="00D97A00">
        <w:rPr>
          <w:szCs w:val="22"/>
          <w:lang w:bidi="en-US"/>
        </w:rPr>
        <w:t xml:space="preserve">, </w:t>
      </w:r>
      <w:r w:rsidRPr="00D97A00">
        <w:rPr>
          <w:i/>
          <w:szCs w:val="22"/>
          <w:lang w:bidi="en-US"/>
        </w:rPr>
        <w:t>60</w:t>
      </w:r>
      <w:r w:rsidRPr="00D97A00">
        <w:rPr>
          <w:szCs w:val="22"/>
          <w:lang w:bidi="en-US"/>
        </w:rPr>
        <w:t>, 304–322.</w:t>
      </w:r>
    </w:p>
    <w:p w14:paraId="57602D9A" w14:textId="77777777" w:rsidR="002A7F0A" w:rsidRPr="00D97A00" w:rsidRDefault="002A7F0A" w:rsidP="00C7424E">
      <w:pPr>
        <w:ind w:left="720" w:hanging="720"/>
        <w:contextualSpacing/>
        <w:rPr>
          <w:szCs w:val="22"/>
          <w:lang w:bidi="en-US"/>
        </w:rPr>
      </w:pPr>
    </w:p>
    <w:p w14:paraId="1FC25C5E" w14:textId="77777777" w:rsidR="00D97A00" w:rsidRDefault="00D97A00" w:rsidP="00C7424E">
      <w:pPr>
        <w:ind w:left="720" w:hanging="720"/>
        <w:contextualSpacing/>
        <w:rPr>
          <w:szCs w:val="22"/>
          <w:lang w:bidi="en-US"/>
        </w:rPr>
      </w:pPr>
      <w:r w:rsidRPr="00D97A00">
        <w:rPr>
          <w:szCs w:val="22"/>
          <w:lang w:bidi="en-US"/>
        </w:rPr>
        <w:t xml:space="preserve">Veal, M. L., &amp; </w:t>
      </w:r>
      <w:proofErr w:type="spellStart"/>
      <w:r w:rsidRPr="00D97A00">
        <w:rPr>
          <w:szCs w:val="22"/>
          <w:lang w:bidi="en-US"/>
        </w:rPr>
        <w:t>Rikard</w:t>
      </w:r>
      <w:proofErr w:type="spellEnd"/>
      <w:r w:rsidRPr="00D97A00">
        <w:rPr>
          <w:szCs w:val="22"/>
          <w:lang w:bidi="en-US"/>
        </w:rPr>
        <w:t xml:space="preserve">, L., (1998). Cooperating teachers' perspectives on the student teaching triad. </w:t>
      </w:r>
      <w:r w:rsidRPr="00D97A00">
        <w:rPr>
          <w:i/>
          <w:szCs w:val="22"/>
          <w:lang w:bidi="en-US"/>
        </w:rPr>
        <w:t>Journal of Teacher Education</w:t>
      </w:r>
      <w:r w:rsidRPr="00D97A00">
        <w:rPr>
          <w:szCs w:val="22"/>
          <w:lang w:bidi="en-US"/>
        </w:rPr>
        <w:t xml:space="preserve">, </w:t>
      </w:r>
      <w:r w:rsidRPr="00D97A00">
        <w:rPr>
          <w:i/>
          <w:szCs w:val="22"/>
          <w:lang w:bidi="en-US"/>
        </w:rPr>
        <w:t>49</w:t>
      </w:r>
      <w:r w:rsidRPr="00D97A00">
        <w:rPr>
          <w:szCs w:val="22"/>
          <w:lang w:bidi="en-US"/>
        </w:rPr>
        <w:t>(2), 108-119.</w:t>
      </w:r>
    </w:p>
    <w:p w14:paraId="7E5E3971" w14:textId="77777777" w:rsidR="002A7F0A" w:rsidRPr="00D97A00" w:rsidRDefault="002A7F0A" w:rsidP="00C7424E">
      <w:pPr>
        <w:ind w:left="720" w:hanging="720"/>
        <w:contextualSpacing/>
        <w:rPr>
          <w:szCs w:val="22"/>
          <w:lang w:bidi="en-US"/>
        </w:rPr>
      </w:pPr>
    </w:p>
    <w:p w14:paraId="7FCEA633" w14:textId="77777777" w:rsidR="00D97A00" w:rsidRDefault="00D97A00" w:rsidP="00C7424E">
      <w:pPr>
        <w:ind w:left="720" w:hanging="720"/>
        <w:contextualSpacing/>
        <w:rPr>
          <w:szCs w:val="22"/>
          <w:lang w:bidi="en-US"/>
        </w:rPr>
      </w:pPr>
      <w:r w:rsidRPr="00D97A00">
        <w:rPr>
          <w:szCs w:val="22"/>
          <w:lang w:bidi="en-US"/>
        </w:rPr>
        <w:t xml:space="preserve">Wilson, S. M., </w:t>
      </w:r>
      <w:proofErr w:type="spellStart"/>
      <w:r w:rsidRPr="00D97A00">
        <w:rPr>
          <w:szCs w:val="22"/>
          <w:lang w:bidi="en-US"/>
        </w:rPr>
        <w:t>Floden</w:t>
      </w:r>
      <w:proofErr w:type="spellEnd"/>
      <w:r w:rsidRPr="00D97A00">
        <w:rPr>
          <w:szCs w:val="22"/>
          <w:lang w:bidi="en-US"/>
        </w:rPr>
        <w:t xml:space="preserve">, R., &amp; </w:t>
      </w:r>
      <w:proofErr w:type="spellStart"/>
      <w:r w:rsidRPr="00D97A00">
        <w:rPr>
          <w:szCs w:val="22"/>
          <w:lang w:bidi="en-US"/>
        </w:rPr>
        <w:t>Ferrini</w:t>
      </w:r>
      <w:proofErr w:type="spellEnd"/>
      <w:r w:rsidRPr="00D97A00">
        <w:rPr>
          <w:szCs w:val="22"/>
          <w:lang w:bidi="en-US"/>
        </w:rPr>
        <w:t xml:space="preserve">-Mundy, J. (2001) Teacher preparation research: Current knowledge, gaps, and recommendations. </w:t>
      </w:r>
      <w:r w:rsidRPr="00D97A00">
        <w:rPr>
          <w:i/>
          <w:szCs w:val="22"/>
          <w:lang w:bidi="en-US"/>
        </w:rPr>
        <w:t>A research report prepared for the U.S. Department of Education</w:t>
      </w:r>
      <w:r w:rsidRPr="00D97A00">
        <w:rPr>
          <w:szCs w:val="22"/>
          <w:lang w:bidi="en-US"/>
        </w:rPr>
        <w:t xml:space="preserve">. Seattle, WA: Center for the Study of Teaching and Policy, University of Washington. </w:t>
      </w:r>
    </w:p>
    <w:p w14:paraId="35CAE000" w14:textId="77777777" w:rsidR="002A7F0A" w:rsidRPr="00D97A00" w:rsidRDefault="002A7F0A" w:rsidP="00C7424E">
      <w:pPr>
        <w:ind w:left="720" w:hanging="720"/>
        <w:contextualSpacing/>
        <w:rPr>
          <w:szCs w:val="22"/>
          <w:lang w:bidi="en-US"/>
        </w:rPr>
      </w:pPr>
    </w:p>
    <w:p w14:paraId="43002203" w14:textId="77777777" w:rsidR="00D97A00" w:rsidRDefault="00D97A00" w:rsidP="00C7424E">
      <w:pPr>
        <w:ind w:left="720" w:hanging="720"/>
        <w:contextualSpacing/>
        <w:rPr>
          <w:szCs w:val="22"/>
          <w:lang w:bidi="en-US"/>
        </w:rPr>
      </w:pPr>
      <w:r w:rsidRPr="00D97A00">
        <w:rPr>
          <w:szCs w:val="22"/>
          <w:lang w:bidi="en-US"/>
        </w:rPr>
        <w:t xml:space="preserve">Young, A., &amp; MacPhail, A. (2015). ‘Standing on the periphery’: Cooperating teachers’ perceptions and responses to the role of supervision. </w:t>
      </w:r>
      <w:r w:rsidRPr="00D97A00">
        <w:rPr>
          <w:i/>
          <w:szCs w:val="22"/>
          <w:lang w:bidi="en-US"/>
        </w:rPr>
        <w:t>European Physical Education Review</w:t>
      </w:r>
      <w:r w:rsidRPr="00D97A00">
        <w:rPr>
          <w:szCs w:val="22"/>
          <w:lang w:bidi="en-US"/>
        </w:rPr>
        <w:t>,</w:t>
      </w:r>
      <w:r w:rsidRPr="00D97A00">
        <w:rPr>
          <w:i/>
          <w:szCs w:val="22"/>
          <w:lang w:bidi="en-US"/>
        </w:rPr>
        <w:t xml:space="preserve"> 21</w:t>
      </w:r>
      <w:r w:rsidRPr="00D97A00">
        <w:rPr>
          <w:szCs w:val="22"/>
          <w:lang w:bidi="en-US"/>
        </w:rPr>
        <w:t>, 22-237.</w:t>
      </w:r>
    </w:p>
    <w:p w14:paraId="7725A7E6" w14:textId="77777777" w:rsidR="002A7F0A" w:rsidRPr="00D97A00" w:rsidRDefault="002A7F0A" w:rsidP="00C7424E">
      <w:pPr>
        <w:ind w:left="720" w:hanging="720"/>
        <w:contextualSpacing/>
        <w:rPr>
          <w:szCs w:val="22"/>
          <w:lang w:bidi="en-US"/>
        </w:rPr>
      </w:pPr>
    </w:p>
    <w:p w14:paraId="7AA72873" w14:textId="77777777" w:rsidR="00D97A00" w:rsidRPr="00D97A00" w:rsidRDefault="00D97A00" w:rsidP="00C7424E">
      <w:pPr>
        <w:ind w:left="720" w:hanging="720"/>
        <w:contextualSpacing/>
        <w:rPr>
          <w:szCs w:val="22"/>
          <w:lang w:bidi="en-US"/>
        </w:rPr>
      </w:pPr>
      <w:proofErr w:type="spellStart"/>
      <w:r w:rsidRPr="00D97A00">
        <w:rPr>
          <w:szCs w:val="22"/>
          <w:lang w:bidi="en-US"/>
        </w:rPr>
        <w:t>Ziv</w:t>
      </w:r>
      <w:proofErr w:type="spellEnd"/>
      <w:r w:rsidRPr="00D97A00">
        <w:rPr>
          <w:szCs w:val="22"/>
          <w:lang w:bidi="en-US"/>
        </w:rPr>
        <w:t xml:space="preserve">, S., Silverstein, M., &amp; Tamir, P. (1993). Discrepant evaluations of student teacher performances. </w:t>
      </w:r>
      <w:r w:rsidRPr="00D97A00">
        <w:rPr>
          <w:i/>
          <w:szCs w:val="22"/>
          <w:lang w:bidi="en-US"/>
        </w:rPr>
        <w:t>Education, Research, and Perspectives</w:t>
      </w:r>
      <w:r w:rsidRPr="00D97A00">
        <w:rPr>
          <w:szCs w:val="22"/>
          <w:lang w:bidi="en-US"/>
        </w:rPr>
        <w:t xml:space="preserve">, </w:t>
      </w:r>
      <w:r w:rsidRPr="00D97A00">
        <w:rPr>
          <w:i/>
          <w:szCs w:val="22"/>
          <w:lang w:bidi="en-US"/>
        </w:rPr>
        <w:t>20</w:t>
      </w:r>
      <w:r w:rsidRPr="00D97A00">
        <w:rPr>
          <w:szCs w:val="22"/>
          <w:lang w:bidi="en-US"/>
        </w:rPr>
        <w:t>, 15-23.</w:t>
      </w:r>
    </w:p>
    <w:p w14:paraId="79C7B464" w14:textId="77777777" w:rsidR="00175A45" w:rsidRDefault="00175A45" w:rsidP="00C7424E">
      <w:pPr>
        <w:tabs>
          <w:tab w:val="left" w:pos="5870"/>
        </w:tabs>
        <w:ind w:left="720"/>
      </w:pPr>
    </w:p>
    <w:p w14:paraId="7D6060D4" w14:textId="77777777" w:rsidR="004304A2" w:rsidRDefault="004304A2" w:rsidP="00C7424E">
      <w:pPr>
        <w:tabs>
          <w:tab w:val="left" w:pos="5870"/>
        </w:tabs>
        <w:ind w:left="720"/>
      </w:pPr>
    </w:p>
    <w:p w14:paraId="756F92A2" w14:textId="77777777" w:rsidR="008A538D" w:rsidRDefault="008A538D" w:rsidP="00C7424E">
      <w:pPr>
        <w:tabs>
          <w:tab w:val="left" w:pos="5870"/>
        </w:tabs>
        <w:ind w:left="720"/>
      </w:pPr>
    </w:p>
    <w:p w14:paraId="5459472A" w14:textId="77777777" w:rsidR="008A538D" w:rsidRDefault="008A538D" w:rsidP="00C7424E">
      <w:pPr>
        <w:tabs>
          <w:tab w:val="left" w:pos="5870"/>
        </w:tabs>
        <w:ind w:left="720"/>
      </w:pPr>
    </w:p>
    <w:p w14:paraId="000BE8E8" w14:textId="77777777" w:rsidR="008A538D" w:rsidRDefault="008A538D" w:rsidP="00C7424E">
      <w:pPr>
        <w:tabs>
          <w:tab w:val="left" w:pos="5870"/>
        </w:tabs>
        <w:ind w:left="720"/>
      </w:pPr>
    </w:p>
    <w:p w14:paraId="63F2CD2B" w14:textId="77777777" w:rsidR="008A538D" w:rsidRDefault="008A538D" w:rsidP="00C7424E">
      <w:pPr>
        <w:tabs>
          <w:tab w:val="left" w:pos="5870"/>
        </w:tabs>
        <w:ind w:left="720"/>
      </w:pPr>
    </w:p>
    <w:p w14:paraId="74B5CFFF" w14:textId="77777777" w:rsidR="008A538D" w:rsidRDefault="008A538D" w:rsidP="00C7424E">
      <w:pPr>
        <w:tabs>
          <w:tab w:val="left" w:pos="5870"/>
        </w:tabs>
        <w:ind w:left="720"/>
      </w:pPr>
    </w:p>
    <w:p w14:paraId="7DF96E42" w14:textId="77777777" w:rsidR="008A538D" w:rsidRDefault="008A538D" w:rsidP="00C7424E">
      <w:pPr>
        <w:tabs>
          <w:tab w:val="left" w:pos="5870"/>
        </w:tabs>
        <w:ind w:left="720"/>
      </w:pPr>
    </w:p>
    <w:p w14:paraId="6507C74C" w14:textId="77777777" w:rsidR="008A538D" w:rsidRDefault="008A538D" w:rsidP="00C7424E">
      <w:pPr>
        <w:tabs>
          <w:tab w:val="left" w:pos="5870"/>
        </w:tabs>
        <w:ind w:left="720"/>
      </w:pPr>
    </w:p>
    <w:tbl>
      <w:tblPr>
        <w:tblStyle w:val="TableGrid"/>
        <w:tblW w:w="0" w:type="auto"/>
        <w:tblInd w:w="720" w:type="dxa"/>
        <w:tblLook w:val="04A0" w:firstRow="1" w:lastRow="0" w:firstColumn="1" w:lastColumn="0" w:noHBand="0" w:noVBand="1"/>
      </w:tblPr>
      <w:tblGrid>
        <w:gridCol w:w="8630"/>
      </w:tblGrid>
      <w:tr w:rsidR="00A84253" w14:paraId="1CD9E572" w14:textId="77777777" w:rsidTr="00A84253">
        <w:tc>
          <w:tcPr>
            <w:tcW w:w="9350" w:type="dxa"/>
          </w:tcPr>
          <w:p w14:paraId="7675890B" w14:textId="77777777" w:rsidR="008A538D" w:rsidRPr="008A538D" w:rsidRDefault="008A538D" w:rsidP="008A538D">
            <w:pPr>
              <w:tabs>
                <w:tab w:val="left" w:pos="5870"/>
              </w:tabs>
            </w:pPr>
            <w:r w:rsidRPr="008A538D">
              <w:rPr>
                <w:b/>
              </w:rPr>
              <w:t>Irene Frank</w:t>
            </w:r>
            <w:r w:rsidRPr="008A538D">
              <w:t xml:space="preserve"> is a Support Analyst for Student Success Technologies at the University of North Texas.  She holds an MS from the University of North Texas’ Department of Educational Psychology with a concentration in Research, Measurement, and Evaluation.  Her research interests include evaluation of teacher candidate dispositions and teaching performance. </w:t>
            </w:r>
          </w:p>
          <w:p w14:paraId="1617746B" w14:textId="77777777" w:rsidR="00A84253" w:rsidRDefault="008A538D" w:rsidP="00C7424E">
            <w:pPr>
              <w:tabs>
                <w:tab w:val="left" w:pos="5870"/>
              </w:tabs>
            </w:pPr>
            <w:r w:rsidRPr="008A538D">
              <w:rPr>
                <w:b/>
              </w:rPr>
              <w:t>Mei Chang</w:t>
            </w:r>
            <w:r w:rsidRPr="008A538D">
              <w:t xml:space="preserve"> is an assistant professor of Educational Psychology at the University of North Texas.  Dr. Chang's primary teaching areas are Educational Research Designs and Intermediate Statistics.  Her research interests include examining effects of cognitive functioning on learning outcomes in diverse learners. </w:t>
            </w:r>
          </w:p>
        </w:tc>
      </w:tr>
    </w:tbl>
    <w:p w14:paraId="6E43FF35" w14:textId="77777777" w:rsidR="004304A2" w:rsidRPr="004304A2" w:rsidRDefault="004304A2" w:rsidP="004304A2">
      <w:pPr>
        <w:spacing w:line="480" w:lineRule="auto"/>
        <w:jc w:val="center"/>
        <w:rPr>
          <w:rFonts w:eastAsia="Calibri"/>
          <w:b/>
        </w:rPr>
      </w:pPr>
      <w:bookmarkStart w:id="14" w:name="_Hlk6426152"/>
      <w:r w:rsidRPr="004304A2">
        <w:rPr>
          <w:rFonts w:eastAsia="Calibri"/>
          <w:b/>
        </w:rPr>
        <w:t>Pre-service Co-</w:t>
      </w:r>
      <w:r w:rsidR="009B1E4B">
        <w:rPr>
          <w:rFonts w:eastAsia="Calibri"/>
          <w:b/>
        </w:rPr>
        <w:t>T</w:t>
      </w:r>
      <w:r w:rsidRPr="004304A2">
        <w:rPr>
          <w:rFonts w:eastAsia="Calibri"/>
          <w:b/>
        </w:rPr>
        <w:t xml:space="preserve">eaching Research: </w:t>
      </w:r>
    </w:p>
    <w:p w14:paraId="41A28851" w14:textId="77777777" w:rsidR="004304A2" w:rsidRPr="004304A2" w:rsidRDefault="004304A2" w:rsidP="004304A2">
      <w:pPr>
        <w:spacing w:line="480" w:lineRule="auto"/>
        <w:jc w:val="center"/>
        <w:rPr>
          <w:rFonts w:eastAsia="Calibri"/>
          <w:b/>
        </w:rPr>
      </w:pPr>
      <w:r w:rsidRPr="004304A2">
        <w:rPr>
          <w:rFonts w:eastAsia="Calibri"/>
          <w:b/>
        </w:rPr>
        <w:t>The Continuing Value of Monitoring Student Achievement</w:t>
      </w:r>
    </w:p>
    <w:p w14:paraId="13547334" w14:textId="77777777" w:rsidR="004304A2" w:rsidRPr="004304A2" w:rsidRDefault="004304A2" w:rsidP="004304A2">
      <w:pPr>
        <w:spacing w:line="480" w:lineRule="auto"/>
        <w:jc w:val="center"/>
        <w:rPr>
          <w:rFonts w:eastAsia="Calibri"/>
          <w:i/>
        </w:rPr>
      </w:pPr>
      <w:r w:rsidRPr="004304A2">
        <w:rPr>
          <w:rFonts w:eastAsia="Calibri"/>
          <w:i/>
        </w:rPr>
        <w:t xml:space="preserve">Douglas Busman, Fatma </w:t>
      </w:r>
      <w:proofErr w:type="spellStart"/>
      <w:r w:rsidRPr="004304A2">
        <w:rPr>
          <w:rFonts w:eastAsia="Calibri"/>
          <w:i/>
        </w:rPr>
        <w:t>Ayyad</w:t>
      </w:r>
      <w:proofErr w:type="spellEnd"/>
      <w:r w:rsidRPr="004304A2">
        <w:rPr>
          <w:rFonts w:eastAsia="Calibri"/>
          <w:i/>
        </w:rPr>
        <w:t xml:space="preserve">, Sheryl </w:t>
      </w:r>
      <w:proofErr w:type="spellStart"/>
      <w:r w:rsidRPr="004304A2">
        <w:rPr>
          <w:rFonts w:eastAsia="Calibri"/>
          <w:i/>
        </w:rPr>
        <w:t>Vlietstra</w:t>
      </w:r>
      <w:proofErr w:type="spellEnd"/>
      <w:r w:rsidRPr="004304A2">
        <w:rPr>
          <w:rFonts w:eastAsia="Calibri"/>
          <w:i/>
        </w:rPr>
        <w:t>, and Paula Lancaster</w:t>
      </w:r>
    </w:p>
    <w:bookmarkEnd w:id="14"/>
    <w:p w14:paraId="29D45B52" w14:textId="77777777" w:rsidR="004304A2" w:rsidRPr="004304A2" w:rsidRDefault="004304A2" w:rsidP="004304A2">
      <w:pPr>
        <w:spacing w:line="480" w:lineRule="auto"/>
        <w:jc w:val="center"/>
        <w:rPr>
          <w:rFonts w:eastAsia="Calibri"/>
          <w:i/>
        </w:rPr>
      </w:pPr>
      <w:r w:rsidRPr="004304A2">
        <w:rPr>
          <w:rFonts w:eastAsia="Calibri"/>
          <w:i/>
        </w:rPr>
        <w:t>Grand Valley State University</w:t>
      </w:r>
    </w:p>
    <w:p w14:paraId="52C032ED" w14:textId="77777777" w:rsidR="004304A2" w:rsidRPr="004304A2" w:rsidRDefault="004304A2" w:rsidP="004304A2">
      <w:pPr>
        <w:spacing w:line="480" w:lineRule="auto"/>
        <w:jc w:val="center"/>
        <w:rPr>
          <w:rFonts w:eastAsia="Calibri"/>
          <w:b/>
        </w:rPr>
      </w:pPr>
    </w:p>
    <w:p w14:paraId="326E9BA5" w14:textId="77777777" w:rsidR="004304A2" w:rsidRPr="004304A2" w:rsidRDefault="004304A2" w:rsidP="004304A2">
      <w:pPr>
        <w:spacing w:line="480" w:lineRule="auto"/>
        <w:jc w:val="center"/>
        <w:rPr>
          <w:rFonts w:eastAsia="Calibri"/>
          <w:i/>
        </w:rPr>
      </w:pPr>
      <w:r w:rsidRPr="004304A2">
        <w:rPr>
          <w:rFonts w:eastAsia="Calibri"/>
          <w:b/>
        </w:rPr>
        <w:t>Abstract</w:t>
      </w:r>
    </w:p>
    <w:p w14:paraId="5855D1D8" w14:textId="77777777" w:rsidR="004304A2" w:rsidRPr="004304A2" w:rsidRDefault="004304A2" w:rsidP="004304A2">
      <w:pPr>
        <w:spacing w:line="480" w:lineRule="auto"/>
        <w:jc w:val="both"/>
        <w:rPr>
          <w:rFonts w:eastAsia="Calibri"/>
        </w:rPr>
      </w:pPr>
      <w:r w:rsidRPr="004304A2">
        <w:rPr>
          <w:rFonts w:eastAsia="Calibri"/>
        </w:rPr>
        <w:t>This second-year study of the effects of pre-service co-teaching in the same elementary school continues to examine the effects of pre-service co-teaching on student achievement</w:t>
      </w:r>
      <w:r w:rsidRPr="004304A2">
        <w:rPr>
          <w:rFonts w:eastAsia="Calibri"/>
          <w:color w:val="2E2E2E"/>
          <w:shd w:val="clear" w:color="auto" w:fill="FFFFFF"/>
        </w:rPr>
        <w:t xml:space="preserve">.  </w:t>
      </w:r>
      <w:bookmarkStart w:id="15" w:name="_Hlk8064388"/>
      <w:r w:rsidRPr="004304A2">
        <w:rPr>
          <w:rFonts w:eastAsia="Calibri"/>
        </w:rPr>
        <w:t xml:space="preserve">A mixed-methods study was used to collect and analyze both quantitative and qualitative data to ascertain how an implemented pre-service co-teaching model might influence teaching and learning.  </w:t>
      </w:r>
      <w:bookmarkEnd w:id="15"/>
      <w:r w:rsidRPr="004304A2">
        <w:rPr>
          <w:rFonts w:eastAsia="Calibri"/>
        </w:rPr>
        <w:t xml:space="preserve">Results support the first-year findings and continue to reveal the potential effects and benefits of such a pre-service co-teaching model.  Study limitations and implications for future implementation and evaluation are discussed. </w:t>
      </w:r>
    </w:p>
    <w:p w14:paraId="6F60418E" w14:textId="77777777" w:rsidR="004304A2" w:rsidRPr="004304A2" w:rsidRDefault="004304A2" w:rsidP="004304A2">
      <w:pPr>
        <w:spacing w:line="480" w:lineRule="auto"/>
        <w:jc w:val="both"/>
        <w:rPr>
          <w:rFonts w:eastAsia="Calibri"/>
        </w:rPr>
      </w:pPr>
      <w:r w:rsidRPr="004304A2">
        <w:rPr>
          <w:rFonts w:eastAsia="Calibri"/>
          <w:b/>
          <w:iCs/>
        </w:rPr>
        <w:t>Keywords</w:t>
      </w:r>
      <w:r w:rsidRPr="004304A2">
        <w:rPr>
          <w:rFonts w:eastAsia="Calibri"/>
          <w:b/>
        </w:rPr>
        <w:t>:</w:t>
      </w:r>
      <w:r w:rsidRPr="004304A2">
        <w:rPr>
          <w:rFonts w:eastAsia="Calibri"/>
        </w:rPr>
        <w:t xml:space="preserve"> classroom, cooperating teachers, co-teaching, elementary students, pre-service teachers, student teachers, teacher education  </w:t>
      </w:r>
    </w:p>
    <w:p w14:paraId="5ABFC89D" w14:textId="77777777" w:rsidR="004304A2" w:rsidRPr="004304A2" w:rsidRDefault="004304A2" w:rsidP="004304A2">
      <w:pPr>
        <w:spacing w:line="480" w:lineRule="auto"/>
        <w:jc w:val="both"/>
        <w:rPr>
          <w:rFonts w:eastAsia="Calibri"/>
          <w:b/>
        </w:rPr>
      </w:pPr>
      <w:r w:rsidRPr="004304A2">
        <w:rPr>
          <w:rFonts w:eastAsia="Calibri"/>
          <w:b/>
        </w:rPr>
        <w:br w:type="page"/>
      </w:r>
    </w:p>
    <w:p w14:paraId="0A801BC2" w14:textId="77777777" w:rsidR="004304A2" w:rsidRPr="004304A2" w:rsidRDefault="004304A2" w:rsidP="004304A2">
      <w:pPr>
        <w:spacing w:line="480" w:lineRule="auto"/>
        <w:ind w:firstLine="720"/>
        <w:rPr>
          <w:rFonts w:eastAsia="Calibri"/>
        </w:rPr>
      </w:pPr>
      <w:r w:rsidRPr="004304A2">
        <w:rPr>
          <w:rFonts w:eastAsia="Calibri"/>
        </w:rPr>
        <w:t>Some scholars and practitioners believe that research on pre-service co-teaching has moved beyond a focus on gains for students in the classroom (Guise, Habib, Thiessen, &amp; Robbins, 2017).  Others suggest that research on the influence of pre-service teachers on student classroom achievement is still needed (</w:t>
      </w:r>
      <w:proofErr w:type="spellStart"/>
      <w:r w:rsidRPr="004304A2">
        <w:rPr>
          <w:rFonts w:eastAsia="Calibri"/>
        </w:rPr>
        <w:t>Tygret</w:t>
      </w:r>
      <w:proofErr w:type="spellEnd"/>
      <w:r w:rsidRPr="004304A2">
        <w:rPr>
          <w:rFonts w:eastAsia="Calibri"/>
        </w:rPr>
        <w:t xml:space="preserve">, 2017).  The research described in this paper comes at a time when cooperating teachers (CTs) who work with pre-service teachers are still faced with value-added teacher evaluation models that link teacher performance to student performance on high-stakes tests (Goodnough, Osmond, </w:t>
      </w:r>
      <w:proofErr w:type="spellStart"/>
      <w:r w:rsidRPr="004304A2">
        <w:rPr>
          <w:rFonts w:eastAsia="Calibri"/>
        </w:rPr>
        <w:t>Dibbon</w:t>
      </w:r>
      <w:proofErr w:type="spellEnd"/>
      <w:r w:rsidRPr="004304A2">
        <w:rPr>
          <w:rFonts w:eastAsia="Calibri"/>
        </w:rPr>
        <w:t xml:space="preserve">, Glassman, &amp; Stevens, 2009; </w:t>
      </w:r>
      <w:proofErr w:type="spellStart"/>
      <w:r w:rsidRPr="004304A2">
        <w:rPr>
          <w:rFonts w:eastAsia="Calibri"/>
        </w:rPr>
        <w:t>Zeichner</w:t>
      </w:r>
      <w:proofErr w:type="spellEnd"/>
      <w:r w:rsidRPr="004304A2">
        <w:rPr>
          <w:rFonts w:eastAsia="Calibri"/>
        </w:rPr>
        <w:t>, 2002).  Without assurances that pre-service co-teaching will not negatively affect elementary student performance, school administrators and teachers might, quite logically, demonstrate a reluctance to accept student teachers or limit the number of pre-service teachers in each building.</w:t>
      </w:r>
    </w:p>
    <w:p w14:paraId="6FB5AA74" w14:textId="77777777" w:rsidR="004304A2" w:rsidRPr="004304A2" w:rsidRDefault="004304A2" w:rsidP="004304A2">
      <w:pPr>
        <w:spacing w:line="480" w:lineRule="auto"/>
        <w:jc w:val="center"/>
        <w:rPr>
          <w:rFonts w:eastAsia="Calibri"/>
          <w:b/>
        </w:rPr>
      </w:pPr>
      <w:r w:rsidRPr="004304A2">
        <w:rPr>
          <w:rFonts w:eastAsia="Calibri"/>
          <w:b/>
        </w:rPr>
        <w:t>A Shift in Focus to Effective Instruction</w:t>
      </w:r>
    </w:p>
    <w:p w14:paraId="27592133" w14:textId="77777777" w:rsidR="004304A2" w:rsidRPr="004304A2" w:rsidRDefault="004304A2" w:rsidP="004304A2">
      <w:pPr>
        <w:spacing w:line="480" w:lineRule="auto"/>
        <w:ind w:firstLine="720"/>
        <w:rPr>
          <w:rFonts w:eastAsia="Calibri"/>
        </w:rPr>
      </w:pPr>
      <w:r w:rsidRPr="004304A2">
        <w:rPr>
          <w:rFonts w:eastAsia="Calibri"/>
        </w:rPr>
        <w:t>Traditionally, CTs have perceived their role to be of a practical and technical nature, with a primary focus on effective classroom management and less focus on nurturing pre-service teachers in the nuances of effective instruction (</w:t>
      </w:r>
      <w:proofErr w:type="spellStart"/>
      <w:r w:rsidRPr="004304A2">
        <w:rPr>
          <w:rFonts w:eastAsia="Calibri"/>
        </w:rPr>
        <w:t>Rajuana</w:t>
      </w:r>
      <w:proofErr w:type="spellEnd"/>
      <w:r w:rsidRPr="004304A2">
        <w:rPr>
          <w:rFonts w:eastAsia="Calibri"/>
        </w:rPr>
        <w:t xml:space="preserve">, </w:t>
      </w:r>
      <w:proofErr w:type="spellStart"/>
      <w:r w:rsidRPr="004304A2">
        <w:rPr>
          <w:rFonts w:eastAsia="Calibri"/>
        </w:rPr>
        <w:t>Beijaardb</w:t>
      </w:r>
      <w:proofErr w:type="spellEnd"/>
      <w:r w:rsidRPr="004304A2">
        <w:rPr>
          <w:rFonts w:eastAsia="Calibri"/>
        </w:rPr>
        <w:t xml:space="preserve">, &amp; </w:t>
      </w:r>
      <w:proofErr w:type="spellStart"/>
      <w:r w:rsidRPr="004304A2">
        <w:rPr>
          <w:rFonts w:eastAsia="Calibri"/>
        </w:rPr>
        <w:t>Verloop</w:t>
      </w:r>
      <w:proofErr w:type="spellEnd"/>
      <w:r w:rsidRPr="004304A2">
        <w:rPr>
          <w:rFonts w:eastAsia="Calibri"/>
        </w:rPr>
        <w:t>, 2007).  Co-teaching, in which teachers share resources and assume joint accountability for student learning (Cook, 2004), provides an opportunity for a mentorship-based approach to the pre-service teaching experience (Kahn, 2001).  This mentorship-based approach to teacher preparation can facilitate a focus on the effective instruction that can create a win-win-win for the CT, the pre-service teacher, and the teacher preparation institution (</w:t>
      </w:r>
      <w:r w:rsidRPr="004304A2">
        <w:rPr>
          <w:rFonts w:eastAsia="Calibri"/>
          <w:lang w:val="en"/>
        </w:rPr>
        <w:t xml:space="preserve">Busman, McCrea, &amp; Schenk, 2013).  However, this </w:t>
      </w:r>
      <w:r w:rsidRPr="004304A2">
        <w:rPr>
          <w:rFonts w:eastAsia="Calibri"/>
        </w:rPr>
        <w:t>only works if the data from such a model support classroom gains on the part of the elementary school students involved.</w:t>
      </w:r>
    </w:p>
    <w:p w14:paraId="215B5B26" w14:textId="77777777" w:rsidR="004304A2" w:rsidRPr="004304A2" w:rsidRDefault="004304A2" w:rsidP="004304A2">
      <w:pPr>
        <w:spacing w:after="160" w:line="259" w:lineRule="auto"/>
        <w:jc w:val="center"/>
        <w:rPr>
          <w:rFonts w:eastAsia="Calibri"/>
          <w:b/>
        </w:rPr>
      </w:pPr>
      <w:r w:rsidRPr="004304A2">
        <w:rPr>
          <w:rFonts w:eastAsia="Calibri"/>
          <w:b/>
        </w:rPr>
        <w:t>A Critical Role for the University Supervisor</w:t>
      </w:r>
    </w:p>
    <w:p w14:paraId="48C48E6E" w14:textId="77777777" w:rsidR="004304A2" w:rsidRPr="004304A2" w:rsidRDefault="004304A2" w:rsidP="004304A2">
      <w:pPr>
        <w:spacing w:line="480" w:lineRule="auto"/>
        <w:ind w:firstLine="720"/>
        <w:rPr>
          <w:rFonts w:eastAsia="Calibri"/>
        </w:rPr>
      </w:pPr>
      <w:r w:rsidRPr="004304A2">
        <w:rPr>
          <w:rFonts w:eastAsia="Calibri"/>
        </w:rPr>
        <w:t xml:space="preserve">To shift from the traditional CT role’s focus on effective classroom management to a mentorship-based approach to co-teaching—with a focus on effective instruction and student achievement—requires hands-on support from university supervisors who are well positioned to provide the required university support (Levine, 2011).  This support includes developing and communicating clear expectations for all stakeholders (Graham, 2006), communicating with CTs regarding effective supervision practices (Harwood, Collins, &amp; </w:t>
      </w:r>
      <w:proofErr w:type="spellStart"/>
      <w:r w:rsidRPr="004304A2">
        <w:rPr>
          <w:rFonts w:eastAsia="Calibri"/>
        </w:rPr>
        <w:t>Sudzina</w:t>
      </w:r>
      <w:proofErr w:type="spellEnd"/>
      <w:r w:rsidRPr="004304A2">
        <w:rPr>
          <w:rFonts w:eastAsia="Calibri"/>
        </w:rPr>
        <w:t>, 2000), and working closely with the principal and the CTs to ensure that active support from principals keeps the program successful and sustainable (Roth &amp; Tobin, 2002).  In addition, university supervisors must actively work to ensure that pre-service teachers buy in to the expectation that they will work collaboratively in partnership with a CT to ground the theoretical knowledge of effective instruction they have gained in their coursework prior to actual classroom practice.  Classroom participation as a “new teacher” has been shown to be a powerful means of fostering student learning and effective teaching (Fernandez, 2002) and maximizing active engagement with the teacher (</w:t>
      </w:r>
      <w:proofErr w:type="spellStart"/>
      <w:r w:rsidRPr="004304A2">
        <w:rPr>
          <w:rFonts w:eastAsia="Calibri"/>
        </w:rPr>
        <w:t>Magliaro</w:t>
      </w:r>
      <w:proofErr w:type="spellEnd"/>
      <w:r w:rsidRPr="004304A2">
        <w:rPr>
          <w:rFonts w:eastAsia="Calibri"/>
        </w:rPr>
        <w:t xml:space="preserve"> &amp; </w:t>
      </w:r>
      <w:proofErr w:type="spellStart"/>
      <w:r w:rsidRPr="004304A2">
        <w:rPr>
          <w:rFonts w:eastAsia="Calibri"/>
        </w:rPr>
        <w:t>Borko</w:t>
      </w:r>
      <w:proofErr w:type="spellEnd"/>
      <w:r w:rsidRPr="004304A2">
        <w:rPr>
          <w:rFonts w:eastAsia="Calibri"/>
        </w:rPr>
        <w:t xml:space="preserve">, 1986). </w:t>
      </w:r>
    </w:p>
    <w:p w14:paraId="3798F2B2" w14:textId="77777777" w:rsidR="004304A2" w:rsidRPr="004304A2" w:rsidRDefault="004304A2" w:rsidP="004304A2">
      <w:pPr>
        <w:tabs>
          <w:tab w:val="left" w:pos="7732"/>
        </w:tabs>
        <w:spacing w:line="480" w:lineRule="auto"/>
        <w:jc w:val="center"/>
        <w:outlineLvl w:val="0"/>
        <w:rPr>
          <w:rFonts w:eastAsia="Calibri"/>
          <w:b/>
        </w:rPr>
      </w:pPr>
      <w:r w:rsidRPr="004304A2">
        <w:rPr>
          <w:rFonts w:eastAsia="Calibri"/>
          <w:b/>
        </w:rPr>
        <w:t>Study Theoretical Framework and Purpose</w:t>
      </w:r>
    </w:p>
    <w:p w14:paraId="01A35D40" w14:textId="77777777" w:rsidR="004304A2" w:rsidRPr="004304A2" w:rsidRDefault="004304A2" w:rsidP="004304A2">
      <w:pPr>
        <w:spacing w:line="480" w:lineRule="auto"/>
        <w:ind w:firstLine="720"/>
        <w:rPr>
          <w:rFonts w:eastAsia="Calibri"/>
          <w:b/>
        </w:rPr>
      </w:pPr>
      <w:r w:rsidRPr="004304A2">
        <w:rPr>
          <w:rFonts w:eastAsia="Calibri"/>
        </w:rPr>
        <w:t xml:space="preserve">In our study, the work of Roth and Tobin (2002) provided a critical, foundational framework for viewing the pre-service teacher as the “new teacher,” rather than the “student teacher” or “prospective teacher.”  “New teacher” brings legitimacy to pre-service teaching, whereas traditional student/pre-service teachers are often regarded as novice, or even deficient, teachers whose presence might threaten a high-quality learning environment. </w:t>
      </w:r>
    </w:p>
    <w:p w14:paraId="733D17C5" w14:textId="77777777" w:rsidR="004304A2" w:rsidRPr="004304A2" w:rsidRDefault="004304A2" w:rsidP="004304A2">
      <w:pPr>
        <w:spacing w:line="480" w:lineRule="auto"/>
        <w:ind w:firstLine="720"/>
        <w:outlineLvl w:val="0"/>
        <w:rPr>
          <w:rFonts w:eastAsia="Calibri"/>
        </w:rPr>
      </w:pPr>
      <w:r w:rsidRPr="004304A2">
        <w:rPr>
          <w:rFonts w:eastAsia="Calibri"/>
        </w:rPr>
        <w:t>Our purpose was to build upon our previous investigations into whether students’ performance in math and reading in kindergarten through fourth grades differed among those who received services in the co-teaching classroom and those who did not.</w:t>
      </w:r>
    </w:p>
    <w:p w14:paraId="09C5D143" w14:textId="77777777" w:rsidR="004304A2" w:rsidRPr="004304A2" w:rsidRDefault="004304A2" w:rsidP="004304A2">
      <w:pPr>
        <w:spacing w:after="160" w:line="259" w:lineRule="auto"/>
        <w:jc w:val="center"/>
        <w:rPr>
          <w:rFonts w:eastAsia="Calibri"/>
          <w:b/>
        </w:rPr>
      </w:pPr>
      <w:r w:rsidRPr="004304A2">
        <w:rPr>
          <w:rFonts w:eastAsia="Calibri"/>
          <w:b/>
        </w:rPr>
        <w:t>Methodology</w:t>
      </w:r>
    </w:p>
    <w:p w14:paraId="04F9BD8D" w14:textId="77777777" w:rsidR="004304A2" w:rsidRPr="004304A2" w:rsidRDefault="004304A2" w:rsidP="004304A2">
      <w:pPr>
        <w:spacing w:line="480" w:lineRule="auto"/>
        <w:jc w:val="center"/>
        <w:outlineLvl w:val="0"/>
        <w:rPr>
          <w:rFonts w:eastAsia="Calibri"/>
          <w:b/>
        </w:rPr>
      </w:pPr>
      <w:r w:rsidRPr="004304A2">
        <w:rPr>
          <w:rFonts w:eastAsia="Calibri"/>
          <w:b/>
        </w:rPr>
        <w:t>Research Questions &amp; Hypothesis</w:t>
      </w:r>
    </w:p>
    <w:p w14:paraId="7BE98543" w14:textId="77777777" w:rsidR="004304A2" w:rsidRPr="004304A2" w:rsidRDefault="004304A2" w:rsidP="004304A2">
      <w:pPr>
        <w:spacing w:line="480" w:lineRule="auto"/>
        <w:ind w:firstLine="720"/>
        <w:rPr>
          <w:rFonts w:eastAsia="Calibri"/>
        </w:rPr>
      </w:pPr>
      <w:r w:rsidRPr="004304A2">
        <w:rPr>
          <w:rFonts w:eastAsia="Calibri"/>
        </w:rPr>
        <w:t>This study was conducted to answer the following question: Does the implementation of the co-teaching model within a pre-service teaching experience increase elementary students’ achievements in math and reading tests?  In addition, we attempted to compare results from our co-teaching program intervention with a traditional pre-service teaching method.  The primary purpose of this study was to evaluate whether co-teaching is an effective instructional model.  Therefore, the following hypothesis was tested: There is no difference in the students’ achievements in math and reading tests for every grade level examined—kindergarten, first, second, third, and fourth grades.</w:t>
      </w:r>
    </w:p>
    <w:p w14:paraId="48AA60A3" w14:textId="77777777" w:rsidR="004304A2" w:rsidRPr="004304A2" w:rsidRDefault="004304A2" w:rsidP="004304A2">
      <w:pPr>
        <w:spacing w:line="480" w:lineRule="auto"/>
        <w:jc w:val="center"/>
        <w:outlineLvl w:val="0"/>
        <w:rPr>
          <w:rFonts w:eastAsia="Calibri"/>
        </w:rPr>
      </w:pPr>
      <w:r w:rsidRPr="004304A2">
        <w:rPr>
          <w:rFonts w:eastAsia="Calibri"/>
          <w:b/>
        </w:rPr>
        <w:t>Participants</w:t>
      </w:r>
    </w:p>
    <w:p w14:paraId="4B4A2C73" w14:textId="77777777" w:rsidR="004304A2" w:rsidRPr="004304A2" w:rsidRDefault="004304A2" w:rsidP="004304A2">
      <w:pPr>
        <w:spacing w:line="480" w:lineRule="auto"/>
        <w:rPr>
          <w:rFonts w:eastAsia="Calibri"/>
        </w:rPr>
      </w:pPr>
      <w:r w:rsidRPr="004304A2">
        <w:rPr>
          <w:rFonts w:eastAsia="Calibri"/>
          <w:b/>
        </w:rPr>
        <w:tab/>
      </w:r>
      <w:r w:rsidRPr="004304A2">
        <w:rPr>
          <w:rFonts w:eastAsia="Calibri"/>
        </w:rPr>
        <w:t xml:space="preserve">This study was conducted by three faculty members from a college of education at a university in western Michigan and implemented in an area elementary school.  The co-teaching program was implemented in kindergarten, first-, second-, third-, and fourth-grade classrooms during the fall and winter semesters of the 2016-2017 academic year.  </w:t>
      </w:r>
    </w:p>
    <w:p w14:paraId="77980C71" w14:textId="77777777" w:rsidR="004304A2" w:rsidRPr="004304A2" w:rsidRDefault="004304A2" w:rsidP="004304A2">
      <w:pPr>
        <w:spacing w:line="480" w:lineRule="auto"/>
        <w:jc w:val="center"/>
        <w:outlineLvl w:val="0"/>
        <w:rPr>
          <w:rFonts w:eastAsia="Calibri"/>
          <w:b/>
        </w:rPr>
      </w:pPr>
      <w:r w:rsidRPr="004304A2">
        <w:rPr>
          <w:rFonts w:eastAsia="Calibri"/>
          <w:b/>
        </w:rPr>
        <w:t>Research Design</w:t>
      </w:r>
    </w:p>
    <w:p w14:paraId="1F2254FF" w14:textId="77777777" w:rsidR="004304A2" w:rsidRPr="004304A2" w:rsidRDefault="004304A2" w:rsidP="004304A2">
      <w:pPr>
        <w:spacing w:line="480" w:lineRule="auto"/>
        <w:ind w:firstLine="720"/>
        <w:rPr>
          <w:rFonts w:eastAsia="Calibri"/>
          <w:lang w:val="en"/>
        </w:rPr>
      </w:pPr>
      <w:r w:rsidRPr="004304A2">
        <w:rPr>
          <w:rFonts w:eastAsia="Calibri"/>
        </w:rPr>
        <w:t>We utilized a mixed-methods design.  For the quantitative study we used students’ achievement data.  For the qualitative study we used classroom teachers’ and pre-service teachers’ data.</w:t>
      </w:r>
    </w:p>
    <w:p w14:paraId="03237D8D" w14:textId="77777777" w:rsidR="004304A2" w:rsidRPr="004304A2" w:rsidRDefault="004304A2" w:rsidP="004304A2">
      <w:pPr>
        <w:spacing w:line="480" w:lineRule="auto"/>
        <w:jc w:val="center"/>
        <w:outlineLvl w:val="0"/>
        <w:rPr>
          <w:rFonts w:eastAsia="Calibri"/>
          <w:b/>
        </w:rPr>
      </w:pPr>
      <w:r w:rsidRPr="004304A2">
        <w:rPr>
          <w:rFonts w:eastAsia="Calibri"/>
          <w:b/>
        </w:rPr>
        <w:t>Data Collection and Analyses</w:t>
      </w:r>
    </w:p>
    <w:p w14:paraId="03944592" w14:textId="77777777" w:rsidR="004304A2" w:rsidRPr="004304A2" w:rsidRDefault="004304A2" w:rsidP="004304A2">
      <w:pPr>
        <w:spacing w:line="480" w:lineRule="auto"/>
        <w:ind w:firstLine="720"/>
        <w:rPr>
          <w:rFonts w:eastAsia="Calibri"/>
        </w:rPr>
      </w:pPr>
      <w:r w:rsidRPr="004304A2">
        <w:rPr>
          <w:rFonts w:eastAsia="Calibri"/>
        </w:rPr>
        <w:t xml:space="preserve">Prior to conducting the research, we obtained university IRB approval, which allowed program implementation and data collection in the targeted school.  We also obtained permission from the assistant superintendent of the school district involved to conduct the proposed research and to review students’ achievement scores on the Northwest Evaluation Association (NWEA) assessment measure for academic progress.  </w:t>
      </w:r>
    </w:p>
    <w:p w14:paraId="6A3DA01F" w14:textId="77777777" w:rsidR="004304A2" w:rsidRPr="004304A2" w:rsidRDefault="004304A2" w:rsidP="004304A2">
      <w:pPr>
        <w:spacing w:line="480" w:lineRule="auto"/>
        <w:rPr>
          <w:rFonts w:eastAsia="Calibri"/>
        </w:rPr>
      </w:pPr>
      <w:r w:rsidRPr="004304A2">
        <w:rPr>
          <w:rFonts w:eastAsia="Calibri"/>
        </w:rPr>
        <w:tab/>
      </w:r>
      <w:r w:rsidRPr="004304A2">
        <w:rPr>
          <w:rFonts w:eastAsia="Calibri"/>
          <w:b/>
        </w:rPr>
        <w:t xml:space="preserve">Quantitative. </w:t>
      </w:r>
      <w:r w:rsidRPr="004304A2">
        <w:rPr>
          <w:rFonts w:eastAsia="Calibri"/>
        </w:rPr>
        <w:t xml:space="preserve"> All quantitative data were analyzed using the statistical application SPSS 23 and SAS 9.3 for Windows.  Analysis focused on the proportion of students who achieved test norms and the growth for students in grade levels for which all three scores in math and reading (fall, winter, and spring) were available.  In addition, our analysis included two types of comparison analyses, both at the 0.05 statistical significance level.  We utilized pretest and post-test repeated measures (i.e., paired-samples t-test) to determine the potential increase in student scores and a split-plot ANOVA to compare students’ scores between the two groups. </w:t>
      </w:r>
    </w:p>
    <w:p w14:paraId="5934AAEE" w14:textId="77777777" w:rsidR="004304A2" w:rsidRPr="004304A2" w:rsidRDefault="004304A2" w:rsidP="004304A2">
      <w:pPr>
        <w:spacing w:line="480" w:lineRule="auto"/>
        <w:ind w:firstLine="720"/>
        <w:outlineLvl w:val="0"/>
        <w:rPr>
          <w:rFonts w:eastAsia="Calibri"/>
        </w:rPr>
      </w:pPr>
      <w:r w:rsidRPr="004304A2">
        <w:rPr>
          <w:rFonts w:eastAsia="Calibri"/>
          <w:b/>
        </w:rPr>
        <w:t>Qualitative.</w:t>
      </w:r>
      <w:r w:rsidRPr="004304A2">
        <w:rPr>
          <w:rFonts w:eastAsia="Calibri"/>
        </w:rPr>
        <w:t xml:space="preserve">  The purpose of the qualitative research was to determine the major benefits and challenges of the co-teaching program and to identify reasons to continue the program during the 2017-2018 academic year.  The data collection method utilized was an open-ended survey questionnaire.  CTs and pre-service teachers participated in the survey. </w:t>
      </w:r>
    </w:p>
    <w:p w14:paraId="548E49AC" w14:textId="77777777" w:rsidR="004304A2" w:rsidRPr="004304A2" w:rsidRDefault="004304A2" w:rsidP="004304A2">
      <w:pPr>
        <w:spacing w:line="480" w:lineRule="auto"/>
        <w:jc w:val="center"/>
        <w:rPr>
          <w:rFonts w:eastAsia="Calibri"/>
          <w:b/>
        </w:rPr>
      </w:pPr>
      <w:r w:rsidRPr="004304A2">
        <w:rPr>
          <w:rFonts w:eastAsia="Calibri"/>
          <w:b/>
        </w:rPr>
        <w:t>Results</w:t>
      </w:r>
    </w:p>
    <w:p w14:paraId="71AD23D2" w14:textId="77777777" w:rsidR="004304A2" w:rsidRPr="004304A2" w:rsidRDefault="004304A2" w:rsidP="004304A2">
      <w:pPr>
        <w:spacing w:line="480" w:lineRule="auto"/>
        <w:rPr>
          <w:rFonts w:eastAsia="Calibri"/>
        </w:rPr>
      </w:pPr>
      <w:r w:rsidRPr="004304A2">
        <w:rPr>
          <w:rFonts w:eastAsia="Calibri"/>
          <w:b/>
        </w:rPr>
        <w:tab/>
        <w:t>Quantitative</w:t>
      </w:r>
      <w:r w:rsidRPr="004304A2">
        <w:rPr>
          <w:rFonts w:eastAsia="Calibri"/>
        </w:rPr>
        <w:t>.  A paired-samples t-test was conducted to assess improvement in students’ scores on the NWEA test in 2016-2017.  The analysis showed a statistically significant increase in students’ test scores from fall to winter, in math and reading, for every grade level (See Tables 1, 2, 3, 4 and 5 for summaries of the paired sample t-tests for each grade level in the subject areas).</w:t>
      </w:r>
    </w:p>
    <w:p w14:paraId="1A44356A" w14:textId="77777777" w:rsidR="004304A2" w:rsidRPr="004304A2" w:rsidRDefault="004304A2" w:rsidP="004304A2">
      <w:pPr>
        <w:spacing w:line="480" w:lineRule="auto"/>
        <w:ind w:firstLine="720"/>
        <w:outlineLvl w:val="0"/>
        <w:rPr>
          <w:rFonts w:eastAsia="Calibri"/>
        </w:rPr>
      </w:pPr>
      <w:r w:rsidRPr="004304A2">
        <w:rPr>
          <w:rFonts w:eastAsia="Calibri"/>
        </w:rPr>
        <w:t xml:space="preserve">The mixed between-within subject analysis revealed that whether students were in a co-teaching or traditional classroom, there was an overall a statistical nonsignificant difference in students’ performances on NWEA math and reading for every grade level.  For first grade, however, data showed a significant difference in students’ performance in math in the 2017 academic year.  </w:t>
      </w:r>
    </w:p>
    <w:p w14:paraId="45C1DC61" w14:textId="77777777" w:rsidR="004304A2" w:rsidRPr="004304A2" w:rsidRDefault="004304A2" w:rsidP="004304A2">
      <w:pPr>
        <w:spacing w:line="480" w:lineRule="auto"/>
        <w:ind w:firstLine="720"/>
        <w:outlineLvl w:val="0"/>
        <w:rPr>
          <w:rFonts w:eastAsia="Calibri"/>
        </w:rPr>
      </w:pPr>
      <w:r w:rsidRPr="004304A2">
        <w:rPr>
          <w:rFonts w:eastAsia="Calibri"/>
        </w:rPr>
        <w:t>Analysis also revealed that a higher proportion of students who received services in co-teaching classrooms achieved the test norm than students in traditional classrooms.  A higher proportion of kindergarten students achieved the norm in the math and reading tests.  First-grade through fourth-grade students followed the same pattern in reading, but not in math for third and fourth grades (see tables 6, 7, and 8).</w:t>
      </w:r>
    </w:p>
    <w:p w14:paraId="393049E8" w14:textId="77777777" w:rsidR="004304A2" w:rsidRPr="004304A2" w:rsidRDefault="004304A2" w:rsidP="004304A2">
      <w:pPr>
        <w:spacing w:line="480" w:lineRule="auto"/>
        <w:outlineLvl w:val="0"/>
        <w:rPr>
          <w:rFonts w:eastAsia="Calibri"/>
          <w:b/>
        </w:rPr>
      </w:pPr>
      <w:r w:rsidRPr="004304A2">
        <w:rPr>
          <w:rFonts w:eastAsia="Calibri"/>
          <w:b/>
        </w:rPr>
        <w:tab/>
        <w:t xml:space="preserve">Qualitative.  </w:t>
      </w:r>
      <w:r w:rsidRPr="004304A2">
        <w:rPr>
          <w:rFonts w:eastAsia="Calibri"/>
        </w:rPr>
        <w:t>Qualitative results revealed that co-teaching helped reach students at their instructional level.  For example, CTs mentioned, “We are often able to work one-on-one with students.”  Pre-service teachers also reported that they were able to work on “smaller group sizes and more one-on-one.”  CTs mentioned that co-teaching built collaborative environments where “two brains are reflecting, solving problems, and [utilizing a variety] of resources.”</w:t>
      </w:r>
    </w:p>
    <w:p w14:paraId="0C902CDD" w14:textId="77777777" w:rsidR="004304A2" w:rsidRPr="004304A2" w:rsidRDefault="004304A2" w:rsidP="004304A2">
      <w:pPr>
        <w:spacing w:line="480" w:lineRule="auto"/>
        <w:rPr>
          <w:rFonts w:eastAsia="Calibri"/>
        </w:rPr>
      </w:pPr>
      <w:r w:rsidRPr="004304A2">
        <w:rPr>
          <w:rFonts w:eastAsia="Calibri"/>
        </w:rPr>
        <w:tab/>
        <w:t>The more traditional view of teacher preparation was also supported.  In the areas of classroom discipline, CTs mentioned that the presence of pre-service teachers helped solve behavioral issues.  For example, “We do lesson planning together as well as manage the classroom together.”  Pre-service teachers stated that “the students get twice the attention.”  This result aligns with the quantitative findings, which showed that co-teaching provided the opportunity for more students to achieve the performance norms.  In addition, pre-service teachers felt that they gained experience for their future career.</w:t>
      </w:r>
    </w:p>
    <w:p w14:paraId="1215DD20" w14:textId="77777777" w:rsidR="004304A2" w:rsidRPr="004304A2" w:rsidRDefault="004304A2" w:rsidP="004304A2">
      <w:pPr>
        <w:spacing w:line="480" w:lineRule="auto"/>
        <w:rPr>
          <w:rFonts w:eastAsia="Calibri"/>
        </w:rPr>
      </w:pPr>
      <w:r w:rsidRPr="004304A2">
        <w:rPr>
          <w:rFonts w:eastAsia="Calibri"/>
        </w:rPr>
        <w:tab/>
        <w:t>The qualitative results also revealed challenges for the co-teaching program.  About 50% of the CTs reported that they needed more time to go through the lesson with the pre-service teacher.  Others reported an issue regarding conflict management and the lack of clearly defined roles for the co-teachers.</w:t>
      </w:r>
    </w:p>
    <w:p w14:paraId="6BD0C8FF" w14:textId="77777777" w:rsidR="004304A2" w:rsidRPr="004304A2" w:rsidRDefault="004304A2" w:rsidP="004304A2">
      <w:pPr>
        <w:spacing w:line="480" w:lineRule="auto"/>
        <w:rPr>
          <w:rFonts w:eastAsia="Calibri"/>
        </w:rPr>
      </w:pPr>
      <w:r w:rsidRPr="004304A2">
        <w:rPr>
          <w:rFonts w:eastAsia="Calibri"/>
        </w:rPr>
        <w:tab/>
        <w:t>Ultimately, both CTs and pre-service teachers recommended that the co-teaching program continue in the upcoming school year.  They noted that the program provided opportunities for many students to achieve learning goals; the model supported elementary students’ individual needs and helped prepare pre-service teachers for their future career.  Both a CT and a pre-service teacher explicitly wrote, “I love the co-teaching program.”</w:t>
      </w:r>
    </w:p>
    <w:p w14:paraId="43BBDD91" w14:textId="77777777" w:rsidR="004304A2" w:rsidRPr="004304A2" w:rsidRDefault="004304A2" w:rsidP="004304A2">
      <w:pPr>
        <w:spacing w:line="480" w:lineRule="auto"/>
        <w:jc w:val="center"/>
        <w:rPr>
          <w:rFonts w:eastAsia="Calibri"/>
          <w:b/>
          <w:bCs/>
        </w:rPr>
      </w:pPr>
      <w:r w:rsidRPr="004304A2">
        <w:rPr>
          <w:rFonts w:eastAsia="Calibri"/>
          <w:b/>
          <w:bCs/>
        </w:rPr>
        <w:t>Discussion</w:t>
      </w:r>
    </w:p>
    <w:p w14:paraId="192FD221" w14:textId="77777777" w:rsidR="004304A2" w:rsidRPr="004304A2" w:rsidRDefault="004304A2" w:rsidP="004304A2">
      <w:pPr>
        <w:spacing w:line="480" w:lineRule="auto"/>
        <w:rPr>
          <w:rFonts w:eastAsia="Calibri"/>
        </w:rPr>
      </w:pPr>
      <w:r>
        <w:rPr>
          <w:rFonts w:eastAsia="Calibri"/>
        </w:rPr>
        <w:tab/>
      </w:r>
      <w:r w:rsidRPr="004304A2">
        <w:rPr>
          <w:rFonts w:eastAsia="Calibri"/>
        </w:rPr>
        <w:t xml:space="preserve">The primary purpose of this study was to evaluate whether co-teaching is an effective instructional model.  Finding supported the hypothesis that there was no difference in the students’ achievements in math and reading tests for every grade level examined—kindergarten, first, second, third, and fourth grades. Although there was not a significant difference between classrooms with co-teaching and classrooms with traditional pre-service teaching, all grade levels assessed reported significant gains during the school year. </w:t>
      </w:r>
    </w:p>
    <w:p w14:paraId="5A9CF648" w14:textId="77777777" w:rsidR="004304A2" w:rsidRPr="004304A2" w:rsidRDefault="004304A2" w:rsidP="004304A2">
      <w:pPr>
        <w:spacing w:line="480" w:lineRule="auto"/>
        <w:rPr>
          <w:rFonts w:eastAsia="Calibri"/>
        </w:rPr>
      </w:pPr>
      <w:r>
        <w:rPr>
          <w:rFonts w:eastAsia="Calibri"/>
        </w:rPr>
        <w:tab/>
      </w:r>
      <w:r w:rsidRPr="004304A2">
        <w:rPr>
          <w:rFonts w:eastAsia="Calibri"/>
        </w:rPr>
        <w:t>These results from this 2nd year of co-teaching research at the same school confirm our first year findings that pre-service co-teaching does not negatively affect student performance. In fact, in some classrooms there seems to be a slight performance advantage in classrooms using the co-teaching model.</w:t>
      </w:r>
    </w:p>
    <w:p w14:paraId="52A10E22" w14:textId="77777777" w:rsidR="004304A2" w:rsidRPr="004304A2" w:rsidRDefault="004304A2" w:rsidP="004304A2">
      <w:pPr>
        <w:spacing w:line="480" w:lineRule="auto"/>
        <w:rPr>
          <w:rFonts w:eastAsia="Calibri"/>
        </w:rPr>
      </w:pPr>
      <w:r>
        <w:rPr>
          <w:rFonts w:eastAsia="Calibri"/>
        </w:rPr>
        <w:tab/>
      </w:r>
      <w:r w:rsidRPr="004304A2">
        <w:rPr>
          <w:rFonts w:eastAsia="Calibri"/>
        </w:rPr>
        <w:t>Thus, rather than administrators and teachers demonstrating a reluctance to accept student teachers or limit the number of pre-service teachers in each building, quite the opposite has occurred.  Administrators and teachers continue to be willing to participate in the pre-service co-teaching program.</w:t>
      </w:r>
    </w:p>
    <w:p w14:paraId="07A8105D" w14:textId="77777777" w:rsidR="004304A2" w:rsidRPr="004304A2" w:rsidRDefault="004304A2" w:rsidP="004304A2">
      <w:pPr>
        <w:spacing w:line="480" w:lineRule="auto"/>
        <w:rPr>
          <w:rFonts w:eastAsia="Calibri"/>
        </w:rPr>
      </w:pPr>
      <w:r>
        <w:rPr>
          <w:rFonts w:eastAsia="Calibri"/>
        </w:rPr>
        <w:tab/>
      </w:r>
      <w:r w:rsidRPr="004304A2">
        <w:rPr>
          <w:rFonts w:eastAsia="Calibri"/>
        </w:rPr>
        <w:t>In addition to looking at co-teaching as an effective instructional model, we were also interested to see if the mentorship-based approach used in our co-teaching model would lead to an increased focus on effective instruction rather than a more traditional focus on classroom management and discipline.  This appeared to the case as teachers commented on increased one-on-one time with students; smaller group sizes and collaborative environments typified by reflecting and solving problems.</w:t>
      </w:r>
    </w:p>
    <w:p w14:paraId="55886360" w14:textId="77777777" w:rsidR="004304A2" w:rsidRPr="004304A2" w:rsidRDefault="004304A2" w:rsidP="004304A2">
      <w:pPr>
        <w:spacing w:line="480" w:lineRule="auto"/>
        <w:rPr>
          <w:rFonts w:eastAsia="Calibri"/>
        </w:rPr>
      </w:pPr>
      <w:r>
        <w:rPr>
          <w:rFonts w:eastAsia="Calibri"/>
        </w:rPr>
        <w:tab/>
      </w:r>
      <w:r w:rsidRPr="004304A2">
        <w:rPr>
          <w:rFonts w:eastAsia="Calibri"/>
        </w:rPr>
        <w:t>In year three of this study, through a grant funded partnership with a major state university, we will be able to study how the expert-novice distinction translates to shared professional development between the CT and the pre-service teacher.</w:t>
      </w:r>
    </w:p>
    <w:p w14:paraId="6C593E6D" w14:textId="77777777" w:rsidR="004304A2" w:rsidRPr="004304A2" w:rsidRDefault="004304A2" w:rsidP="004304A2">
      <w:pPr>
        <w:spacing w:line="480" w:lineRule="auto"/>
        <w:rPr>
          <w:rFonts w:eastAsia="Calibri"/>
        </w:rPr>
      </w:pPr>
      <w:r>
        <w:rPr>
          <w:rFonts w:eastAsia="Calibri"/>
        </w:rPr>
        <w:tab/>
      </w:r>
      <w:r w:rsidRPr="004304A2">
        <w:rPr>
          <w:rFonts w:eastAsia="Calibri"/>
        </w:rPr>
        <w:t xml:space="preserve">Challenges with the study continued in year two.  Because the CTs and pre-service teachers voluntarily participated, they may have held positive views about the potential of co-teaching models.  These positive views, in turn, may have influenced their instruction in the classrooms.  </w:t>
      </w:r>
    </w:p>
    <w:p w14:paraId="36BCD2A9" w14:textId="77777777" w:rsidR="004304A2" w:rsidRPr="004304A2" w:rsidRDefault="004304A2" w:rsidP="004304A2">
      <w:pPr>
        <w:spacing w:line="480" w:lineRule="auto"/>
        <w:rPr>
          <w:rFonts w:eastAsia="Calibri"/>
        </w:rPr>
      </w:pPr>
      <w:r>
        <w:rPr>
          <w:rFonts w:eastAsia="Calibri"/>
        </w:rPr>
        <w:tab/>
      </w:r>
      <w:r w:rsidRPr="004304A2">
        <w:rPr>
          <w:rFonts w:eastAsia="Calibri"/>
        </w:rPr>
        <w:t xml:space="preserve">An experimental or quasi-experimental design would be needed to truly test the effects of co-teaching.  Finally, an ideal design would include current comparison/experimental classrooms to control for current events, curricula, and the professional development experiences of the teachers.  </w:t>
      </w:r>
    </w:p>
    <w:p w14:paraId="04EA6900" w14:textId="77777777" w:rsidR="004304A2" w:rsidRPr="004304A2" w:rsidRDefault="004304A2" w:rsidP="004304A2">
      <w:pPr>
        <w:spacing w:line="480" w:lineRule="auto"/>
        <w:jc w:val="center"/>
        <w:rPr>
          <w:rFonts w:eastAsia="Calibri"/>
          <w:b/>
          <w:bCs/>
        </w:rPr>
      </w:pPr>
      <w:r w:rsidRPr="004304A2">
        <w:rPr>
          <w:rFonts w:eastAsia="Calibri"/>
          <w:b/>
          <w:bCs/>
        </w:rPr>
        <w:t>Conclusion</w:t>
      </w:r>
    </w:p>
    <w:p w14:paraId="2FCAE30B" w14:textId="77777777" w:rsidR="004304A2" w:rsidRPr="004304A2" w:rsidRDefault="004304A2" w:rsidP="004304A2">
      <w:pPr>
        <w:spacing w:line="480" w:lineRule="auto"/>
        <w:ind w:firstLine="720"/>
        <w:rPr>
          <w:rFonts w:eastAsia="Calibri"/>
        </w:rPr>
      </w:pPr>
      <w:r w:rsidRPr="004304A2">
        <w:rPr>
          <w:rFonts w:eastAsia="Calibri"/>
        </w:rPr>
        <w:t xml:space="preserve">The results of this study revealed that student academic achievement increased in both co-teaching and non-co-teaching classrooms.  These results provided sufficient motivation for the principal and teachers to agree to participate in co-teaching again during the 2017-18 school year.  Pre-service teachers have continued to volunteer for the project, and it has been a success in the view of all stakeholders.  During the 2017-2018 academic year, we have continued to add classrooms and pre-service teachers and collect data.  Expansion to other schools is being considered. </w:t>
      </w:r>
    </w:p>
    <w:p w14:paraId="1574DFC3" w14:textId="77777777" w:rsidR="004304A2" w:rsidRPr="004304A2" w:rsidRDefault="004304A2" w:rsidP="004304A2">
      <w:pPr>
        <w:spacing w:line="480" w:lineRule="auto"/>
        <w:jc w:val="center"/>
        <w:rPr>
          <w:rFonts w:eastAsia="Calibri"/>
          <w:b/>
          <w:szCs w:val="22"/>
        </w:rPr>
      </w:pPr>
    </w:p>
    <w:p w14:paraId="3FB8E93F" w14:textId="77777777" w:rsidR="004304A2" w:rsidRPr="004304A2" w:rsidRDefault="004304A2" w:rsidP="004304A2">
      <w:pPr>
        <w:spacing w:line="480" w:lineRule="auto"/>
        <w:jc w:val="center"/>
        <w:rPr>
          <w:rFonts w:eastAsia="Calibri"/>
          <w:b/>
          <w:szCs w:val="22"/>
        </w:rPr>
      </w:pPr>
      <w:r w:rsidRPr="004304A2">
        <w:rPr>
          <w:rFonts w:eastAsia="Calibri"/>
          <w:b/>
          <w:szCs w:val="22"/>
        </w:rPr>
        <w:t>Acknowledgments</w:t>
      </w:r>
    </w:p>
    <w:p w14:paraId="33D8F293" w14:textId="77777777" w:rsidR="004304A2" w:rsidRPr="004304A2" w:rsidRDefault="004304A2" w:rsidP="004304A2">
      <w:pPr>
        <w:autoSpaceDE w:val="0"/>
        <w:autoSpaceDN w:val="0"/>
        <w:adjustRightInd w:val="0"/>
        <w:spacing w:line="480" w:lineRule="auto"/>
        <w:rPr>
          <w:rFonts w:eastAsia="Calibri"/>
          <w:bCs/>
          <w:szCs w:val="22"/>
        </w:rPr>
      </w:pPr>
      <w:r w:rsidRPr="004304A2">
        <w:rPr>
          <w:rFonts w:eastAsia="Calibri"/>
          <w:bCs/>
          <w:szCs w:val="22"/>
        </w:rPr>
        <w:t>The authors gratefully acknowledge the assistance of Beyond Words, Inc., in the editing and</w:t>
      </w:r>
      <w:r>
        <w:rPr>
          <w:rFonts w:eastAsia="Calibri"/>
          <w:bCs/>
          <w:szCs w:val="22"/>
        </w:rPr>
        <w:t xml:space="preserve"> </w:t>
      </w:r>
      <w:r w:rsidRPr="004304A2">
        <w:rPr>
          <w:rFonts w:eastAsia="Calibri"/>
          <w:bCs/>
          <w:szCs w:val="22"/>
        </w:rPr>
        <w:t>preparation of this manuscript.  The authors maintained control over the direction and content of this article during its development.  Although Beyond Words, Inc., supplied professional editing services, this does not indicate its endorsement of, agreement with, or responsibility for the content of the article.</w:t>
      </w:r>
    </w:p>
    <w:p w14:paraId="24DEBF54" w14:textId="77777777" w:rsidR="004304A2" w:rsidRPr="004304A2" w:rsidRDefault="004304A2" w:rsidP="004304A2">
      <w:pPr>
        <w:spacing w:line="480" w:lineRule="auto"/>
        <w:jc w:val="both"/>
        <w:rPr>
          <w:rFonts w:eastAsia="Calibri"/>
          <w:sz w:val="28"/>
        </w:rPr>
      </w:pPr>
      <w:r w:rsidRPr="004304A2">
        <w:rPr>
          <w:rFonts w:eastAsia="Calibri"/>
          <w:sz w:val="28"/>
        </w:rPr>
        <w:br w:type="page"/>
      </w:r>
    </w:p>
    <w:p w14:paraId="105ECFC3" w14:textId="77777777" w:rsidR="004304A2" w:rsidRPr="004304A2" w:rsidRDefault="004304A2" w:rsidP="004304A2">
      <w:pPr>
        <w:spacing w:line="480" w:lineRule="auto"/>
        <w:jc w:val="center"/>
        <w:outlineLvl w:val="0"/>
        <w:rPr>
          <w:rFonts w:eastAsia="Calibri"/>
          <w:b/>
        </w:rPr>
      </w:pPr>
      <w:r w:rsidRPr="004304A2">
        <w:rPr>
          <w:rFonts w:eastAsia="Calibri"/>
          <w:b/>
        </w:rPr>
        <w:t>References</w:t>
      </w:r>
    </w:p>
    <w:p w14:paraId="205521F1" w14:textId="77777777" w:rsidR="004304A2" w:rsidRPr="004304A2" w:rsidRDefault="004304A2" w:rsidP="004304A2">
      <w:pPr>
        <w:autoSpaceDE w:val="0"/>
        <w:autoSpaceDN w:val="0"/>
        <w:adjustRightInd w:val="0"/>
        <w:ind w:left="720" w:hanging="720"/>
        <w:jc w:val="both"/>
        <w:rPr>
          <w:rFonts w:eastAsia="Calibri"/>
          <w:lang w:val="en"/>
        </w:rPr>
      </w:pPr>
      <w:r w:rsidRPr="004304A2">
        <w:rPr>
          <w:rFonts w:eastAsia="Calibri"/>
          <w:lang w:val="en"/>
        </w:rPr>
        <w:t>Busman D., McCrea L. &amp; Schenk S. (2013). Working in Three-Part Harmony: Expectations of Cooperating Teachers as a Foundation for Collaboration. Education Research and Perspectives, 40, 192-210.</w:t>
      </w:r>
    </w:p>
    <w:p w14:paraId="7D03D391" w14:textId="77777777" w:rsidR="004304A2" w:rsidRPr="004304A2" w:rsidRDefault="004304A2" w:rsidP="004304A2">
      <w:pPr>
        <w:autoSpaceDE w:val="0"/>
        <w:autoSpaceDN w:val="0"/>
        <w:adjustRightInd w:val="0"/>
        <w:ind w:left="720" w:hanging="720"/>
        <w:jc w:val="both"/>
        <w:rPr>
          <w:rFonts w:eastAsia="Calibri"/>
          <w:lang w:val="en"/>
        </w:rPr>
      </w:pPr>
    </w:p>
    <w:p w14:paraId="16D86AA6" w14:textId="77777777" w:rsidR="004304A2" w:rsidRPr="004304A2" w:rsidRDefault="004304A2" w:rsidP="004304A2">
      <w:pPr>
        <w:tabs>
          <w:tab w:val="left" w:pos="1690"/>
        </w:tabs>
        <w:ind w:left="720" w:hanging="720"/>
        <w:jc w:val="both"/>
        <w:rPr>
          <w:rFonts w:eastAsia="Calibri"/>
        </w:rPr>
      </w:pPr>
      <w:r w:rsidRPr="004304A2">
        <w:rPr>
          <w:rFonts w:eastAsia="Calibri"/>
        </w:rPr>
        <w:t xml:space="preserve">Cook, L. (2004, April). </w:t>
      </w:r>
      <w:r w:rsidRPr="004304A2">
        <w:rPr>
          <w:rFonts w:eastAsia="Calibri"/>
          <w:i/>
        </w:rPr>
        <w:t>Co-teaching: Principles, practices, and pragmatics</w:t>
      </w:r>
      <w:r w:rsidRPr="004304A2">
        <w:rPr>
          <w:rFonts w:eastAsia="Calibri"/>
        </w:rPr>
        <w:t>. Paper presented at the New Mexico Public Education Department Quarterly Special Education Meeting. Retrieved from ERIC database (ED486454).</w:t>
      </w:r>
    </w:p>
    <w:p w14:paraId="07801748" w14:textId="77777777" w:rsidR="004304A2" w:rsidRPr="004304A2" w:rsidRDefault="004304A2" w:rsidP="004304A2">
      <w:pPr>
        <w:tabs>
          <w:tab w:val="left" w:pos="1690"/>
        </w:tabs>
        <w:ind w:left="720" w:hanging="720"/>
        <w:jc w:val="both"/>
        <w:rPr>
          <w:rFonts w:eastAsia="Calibri"/>
        </w:rPr>
      </w:pPr>
    </w:p>
    <w:p w14:paraId="5809E8BE" w14:textId="77777777" w:rsidR="004304A2" w:rsidRPr="004304A2" w:rsidRDefault="004304A2" w:rsidP="004304A2">
      <w:pPr>
        <w:tabs>
          <w:tab w:val="left" w:pos="1690"/>
        </w:tabs>
        <w:ind w:left="720" w:hanging="720"/>
        <w:jc w:val="both"/>
        <w:rPr>
          <w:rFonts w:eastAsia="Calibri"/>
        </w:rPr>
      </w:pPr>
      <w:r w:rsidRPr="004304A2">
        <w:rPr>
          <w:rFonts w:eastAsia="Calibri"/>
        </w:rPr>
        <w:t xml:space="preserve">Fernandez, C. (2002). Learning from Japanese approaches to professional development: The case of lesson study. </w:t>
      </w:r>
      <w:r w:rsidRPr="004304A2">
        <w:rPr>
          <w:rFonts w:eastAsia="Calibri"/>
          <w:i/>
        </w:rPr>
        <w:t>Journal of Teacher Education</w:t>
      </w:r>
      <w:r w:rsidRPr="004304A2">
        <w:rPr>
          <w:rFonts w:eastAsia="Calibri"/>
        </w:rPr>
        <w:t xml:space="preserve">, </w:t>
      </w:r>
      <w:r w:rsidRPr="004304A2">
        <w:rPr>
          <w:rFonts w:eastAsia="Calibri"/>
          <w:i/>
        </w:rPr>
        <w:t>53</w:t>
      </w:r>
      <w:r w:rsidRPr="004304A2">
        <w:rPr>
          <w:rFonts w:eastAsia="Calibri"/>
        </w:rPr>
        <w:t>(5), 393–405.</w:t>
      </w:r>
    </w:p>
    <w:p w14:paraId="0F3294B9" w14:textId="77777777" w:rsidR="004304A2" w:rsidRPr="004304A2" w:rsidRDefault="004304A2" w:rsidP="004304A2">
      <w:pPr>
        <w:tabs>
          <w:tab w:val="left" w:pos="1690"/>
        </w:tabs>
        <w:ind w:left="720" w:hanging="720"/>
        <w:jc w:val="both"/>
        <w:rPr>
          <w:rFonts w:eastAsia="Calibri"/>
        </w:rPr>
      </w:pPr>
    </w:p>
    <w:p w14:paraId="22802C90" w14:textId="77777777" w:rsidR="004304A2" w:rsidRPr="004304A2" w:rsidRDefault="004304A2" w:rsidP="004304A2">
      <w:pPr>
        <w:tabs>
          <w:tab w:val="left" w:pos="1690"/>
        </w:tabs>
        <w:ind w:left="720" w:hanging="720"/>
        <w:jc w:val="both"/>
        <w:rPr>
          <w:rFonts w:eastAsia="Calibri"/>
        </w:rPr>
      </w:pPr>
      <w:r w:rsidRPr="004304A2">
        <w:rPr>
          <w:rFonts w:eastAsia="Calibri"/>
        </w:rPr>
        <w:t xml:space="preserve">Goodnough, K., Osmond, P., </w:t>
      </w:r>
      <w:proofErr w:type="spellStart"/>
      <w:r w:rsidRPr="004304A2">
        <w:rPr>
          <w:rFonts w:eastAsia="Calibri"/>
        </w:rPr>
        <w:t>Dibbon</w:t>
      </w:r>
      <w:proofErr w:type="spellEnd"/>
      <w:r w:rsidRPr="004304A2">
        <w:rPr>
          <w:rFonts w:eastAsia="Calibri"/>
        </w:rPr>
        <w:t xml:space="preserve">, D., Glassman, M., &amp; Stevens, K. (2009). Exploring a triad model of student teaching: Pre-service teacher and cooperating teacher perceptions teaching and teacher education. </w:t>
      </w:r>
      <w:r w:rsidRPr="004304A2">
        <w:rPr>
          <w:rFonts w:eastAsia="Calibri"/>
          <w:i/>
        </w:rPr>
        <w:t>An International Journal of Research and Studies</w:t>
      </w:r>
      <w:r w:rsidRPr="004304A2">
        <w:rPr>
          <w:rFonts w:eastAsia="Calibri"/>
        </w:rPr>
        <w:t xml:space="preserve">, </w:t>
      </w:r>
      <w:r w:rsidRPr="004304A2">
        <w:rPr>
          <w:rFonts w:eastAsia="Calibri"/>
          <w:i/>
        </w:rPr>
        <w:t>25</w:t>
      </w:r>
      <w:r w:rsidRPr="004304A2">
        <w:rPr>
          <w:rFonts w:eastAsia="Calibri"/>
        </w:rPr>
        <w:t xml:space="preserve">(2), 285–296. </w:t>
      </w:r>
    </w:p>
    <w:p w14:paraId="2A3A625C" w14:textId="77777777" w:rsidR="004304A2" w:rsidRPr="004304A2" w:rsidRDefault="004304A2" w:rsidP="004304A2">
      <w:pPr>
        <w:tabs>
          <w:tab w:val="left" w:pos="1690"/>
        </w:tabs>
        <w:ind w:left="720" w:hanging="720"/>
        <w:jc w:val="both"/>
        <w:rPr>
          <w:rFonts w:eastAsia="Calibri"/>
        </w:rPr>
      </w:pPr>
    </w:p>
    <w:p w14:paraId="1CDC394B" w14:textId="77777777" w:rsidR="004304A2" w:rsidRPr="004304A2" w:rsidRDefault="004304A2" w:rsidP="004304A2">
      <w:pPr>
        <w:ind w:left="720" w:hanging="720"/>
        <w:jc w:val="both"/>
        <w:rPr>
          <w:rFonts w:eastAsia="Calibri"/>
        </w:rPr>
      </w:pPr>
      <w:r w:rsidRPr="004304A2">
        <w:rPr>
          <w:rFonts w:eastAsia="Calibri"/>
        </w:rPr>
        <w:t xml:space="preserve">Graham, B. (2006). Conditions for successful field experience: Perceptions of cooperating teachers. </w:t>
      </w:r>
      <w:r w:rsidRPr="004304A2">
        <w:rPr>
          <w:rFonts w:eastAsia="Calibri"/>
          <w:i/>
        </w:rPr>
        <w:t>Teaching and Teacher Education, 22</w:t>
      </w:r>
      <w:r w:rsidRPr="004304A2">
        <w:rPr>
          <w:rFonts w:eastAsia="Calibri"/>
        </w:rPr>
        <w:t>, 1118-1129.</w:t>
      </w:r>
    </w:p>
    <w:p w14:paraId="478EABDE" w14:textId="77777777" w:rsidR="004304A2" w:rsidRPr="004304A2" w:rsidRDefault="004304A2" w:rsidP="004304A2">
      <w:pPr>
        <w:ind w:left="720" w:hanging="720"/>
        <w:jc w:val="both"/>
        <w:rPr>
          <w:rFonts w:eastAsia="Calibri"/>
        </w:rPr>
      </w:pPr>
    </w:p>
    <w:p w14:paraId="47643146" w14:textId="77777777" w:rsidR="004304A2" w:rsidRPr="004304A2" w:rsidRDefault="004304A2" w:rsidP="004304A2">
      <w:pPr>
        <w:ind w:left="720" w:hanging="720"/>
        <w:jc w:val="both"/>
        <w:rPr>
          <w:rFonts w:eastAsia="Calibri"/>
        </w:rPr>
      </w:pPr>
      <w:r w:rsidRPr="004304A2">
        <w:rPr>
          <w:rFonts w:eastAsia="Calibri"/>
        </w:rPr>
        <w:t xml:space="preserve">Guise, M., Habib, M., Thiessen, K. &amp; Robbins (2017) Continuum of co-teaching implementation: Moving from traditional student teaching to co-teaching. </w:t>
      </w:r>
      <w:r w:rsidRPr="004304A2">
        <w:rPr>
          <w:rFonts w:eastAsia="Calibri"/>
          <w:i/>
        </w:rPr>
        <w:t xml:space="preserve">Teaching and Teacher Education, 66, </w:t>
      </w:r>
      <w:r w:rsidRPr="004304A2">
        <w:rPr>
          <w:rFonts w:eastAsia="Calibri"/>
        </w:rPr>
        <w:t>370-382.</w:t>
      </w:r>
    </w:p>
    <w:p w14:paraId="69C32B29" w14:textId="77777777" w:rsidR="004304A2" w:rsidRPr="004304A2" w:rsidRDefault="004304A2" w:rsidP="004304A2">
      <w:pPr>
        <w:ind w:left="720" w:hanging="720"/>
        <w:jc w:val="both"/>
        <w:rPr>
          <w:rFonts w:eastAsia="Calibri"/>
          <w:i/>
        </w:rPr>
      </w:pPr>
    </w:p>
    <w:p w14:paraId="7F5BB0D6" w14:textId="77777777" w:rsidR="004304A2" w:rsidRPr="004304A2" w:rsidRDefault="004304A2" w:rsidP="004304A2">
      <w:pPr>
        <w:ind w:left="720" w:hanging="720"/>
        <w:jc w:val="both"/>
        <w:rPr>
          <w:rFonts w:eastAsia="Calibri"/>
        </w:rPr>
      </w:pPr>
      <w:r w:rsidRPr="004304A2">
        <w:rPr>
          <w:rFonts w:eastAsia="Calibri"/>
        </w:rPr>
        <w:t xml:space="preserve">Harwood, A. M., Collins, L., &amp; </w:t>
      </w:r>
      <w:proofErr w:type="spellStart"/>
      <w:r w:rsidRPr="004304A2">
        <w:rPr>
          <w:rFonts w:eastAsia="Calibri"/>
        </w:rPr>
        <w:t>Sudzina</w:t>
      </w:r>
      <w:proofErr w:type="spellEnd"/>
      <w:r w:rsidRPr="004304A2">
        <w:rPr>
          <w:rFonts w:eastAsia="Calibri"/>
        </w:rPr>
        <w:t>, M. (2000). Learning from student teacher failure: Implications for program design. Paper presented at the annual meeting of the American Educational Research Association, New Orleans, LA. (ERIC Document Reproduction Service No. 442777).</w:t>
      </w:r>
    </w:p>
    <w:p w14:paraId="7B9C05FD" w14:textId="77777777" w:rsidR="004304A2" w:rsidRPr="004304A2" w:rsidRDefault="004304A2" w:rsidP="004304A2">
      <w:pPr>
        <w:ind w:left="720" w:hanging="720"/>
        <w:jc w:val="both"/>
        <w:rPr>
          <w:rFonts w:eastAsia="Calibri"/>
        </w:rPr>
      </w:pPr>
    </w:p>
    <w:p w14:paraId="2B9EABAE" w14:textId="77777777" w:rsidR="004304A2" w:rsidRPr="004304A2" w:rsidRDefault="004304A2" w:rsidP="004304A2">
      <w:pPr>
        <w:ind w:left="720" w:hanging="720"/>
        <w:jc w:val="both"/>
        <w:rPr>
          <w:rFonts w:eastAsia="Calibri"/>
        </w:rPr>
      </w:pPr>
      <w:r w:rsidRPr="004304A2">
        <w:rPr>
          <w:rFonts w:eastAsia="Calibri"/>
        </w:rPr>
        <w:t xml:space="preserve">Kahn, B. (2001). Portrait of success: Cooperating teachers and the student teaching experience. </w:t>
      </w:r>
      <w:r w:rsidRPr="004304A2">
        <w:rPr>
          <w:rFonts w:eastAsia="Calibri"/>
          <w:i/>
        </w:rPr>
        <w:t>Action in Teacher Education, 22</w:t>
      </w:r>
      <w:r w:rsidRPr="004304A2">
        <w:rPr>
          <w:rFonts w:eastAsia="Calibri"/>
        </w:rPr>
        <w:t>(4), 48-58.</w:t>
      </w:r>
    </w:p>
    <w:p w14:paraId="012CF3ED" w14:textId="77777777" w:rsidR="004304A2" w:rsidRPr="004304A2" w:rsidRDefault="004304A2" w:rsidP="004304A2">
      <w:pPr>
        <w:ind w:left="720" w:hanging="720"/>
        <w:jc w:val="both"/>
        <w:rPr>
          <w:rFonts w:eastAsia="Calibri"/>
        </w:rPr>
      </w:pPr>
    </w:p>
    <w:p w14:paraId="34968A0A" w14:textId="77777777" w:rsidR="004304A2" w:rsidRPr="004304A2" w:rsidRDefault="004304A2" w:rsidP="004304A2">
      <w:pPr>
        <w:ind w:left="720" w:hanging="720"/>
        <w:jc w:val="both"/>
        <w:rPr>
          <w:rFonts w:eastAsia="Calibri"/>
        </w:rPr>
      </w:pPr>
      <w:r w:rsidRPr="004304A2">
        <w:rPr>
          <w:rFonts w:eastAsia="Calibri"/>
        </w:rPr>
        <w:t xml:space="preserve">Levine, T. (2011). Features and strategies of supervisor professional community as a means of improving the supervision of pre-service teachers. </w:t>
      </w:r>
      <w:r w:rsidRPr="004304A2">
        <w:rPr>
          <w:rFonts w:eastAsia="Calibri"/>
          <w:i/>
        </w:rPr>
        <w:t>Teaching and Teacher Education, 27</w:t>
      </w:r>
      <w:r w:rsidRPr="004304A2">
        <w:rPr>
          <w:rFonts w:eastAsia="Calibri"/>
        </w:rPr>
        <w:t>, 930–941.</w:t>
      </w:r>
    </w:p>
    <w:p w14:paraId="0E3A6B4B" w14:textId="77777777" w:rsidR="004304A2" w:rsidRPr="004304A2" w:rsidRDefault="004304A2" w:rsidP="004304A2">
      <w:pPr>
        <w:ind w:left="720" w:hanging="720"/>
        <w:jc w:val="both"/>
        <w:rPr>
          <w:rFonts w:eastAsia="Calibri"/>
        </w:rPr>
      </w:pPr>
    </w:p>
    <w:p w14:paraId="7232CA10" w14:textId="77777777" w:rsidR="004304A2" w:rsidRPr="004304A2" w:rsidRDefault="004304A2" w:rsidP="004304A2">
      <w:pPr>
        <w:tabs>
          <w:tab w:val="left" w:pos="1690"/>
        </w:tabs>
        <w:ind w:left="720" w:hanging="720"/>
        <w:jc w:val="both"/>
        <w:rPr>
          <w:rFonts w:eastAsia="Calibri"/>
        </w:rPr>
      </w:pPr>
      <w:proofErr w:type="spellStart"/>
      <w:r w:rsidRPr="004304A2">
        <w:rPr>
          <w:rFonts w:eastAsia="Calibri"/>
        </w:rPr>
        <w:t>Magliaro</w:t>
      </w:r>
      <w:proofErr w:type="spellEnd"/>
      <w:r w:rsidRPr="004304A2">
        <w:rPr>
          <w:rFonts w:eastAsia="Calibri"/>
        </w:rPr>
        <w:t xml:space="preserve">, S., &amp; </w:t>
      </w:r>
      <w:proofErr w:type="spellStart"/>
      <w:r w:rsidRPr="004304A2">
        <w:rPr>
          <w:rFonts w:eastAsia="Calibri"/>
        </w:rPr>
        <w:t>Borko</w:t>
      </w:r>
      <w:proofErr w:type="spellEnd"/>
      <w:r w:rsidRPr="004304A2">
        <w:rPr>
          <w:rFonts w:eastAsia="Calibri"/>
        </w:rPr>
        <w:t xml:space="preserve">, H. (1986). A naturalistic investigation of experienced teachers’ and student teachers’ instructional practice. </w:t>
      </w:r>
      <w:r w:rsidRPr="004304A2">
        <w:rPr>
          <w:rFonts w:eastAsia="Calibri"/>
          <w:i/>
        </w:rPr>
        <w:t>Teaching and Teacher Education,</w:t>
      </w:r>
      <w:r w:rsidRPr="004304A2">
        <w:rPr>
          <w:rFonts w:eastAsia="Calibri"/>
        </w:rPr>
        <w:t xml:space="preserve"> </w:t>
      </w:r>
      <w:r w:rsidRPr="004304A2">
        <w:rPr>
          <w:rFonts w:eastAsia="Calibri"/>
          <w:i/>
        </w:rPr>
        <w:t>2</w:t>
      </w:r>
      <w:r w:rsidRPr="004304A2">
        <w:rPr>
          <w:rFonts w:eastAsia="Calibri"/>
        </w:rPr>
        <w:t>(2), 127–137.</w:t>
      </w:r>
    </w:p>
    <w:p w14:paraId="217EB7A5" w14:textId="77777777" w:rsidR="004304A2" w:rsidRPr="004304A2" w:rsidRDefault="004304A2" w:rsidP="004304A2">
      <w:pPr>
        <w:tabs>
          <w:tab w:val="left" w:pos="1690"/>
        </w:tabs>
        <w:ind w:left="720" w:hanging="720"/>
        <w:jc w:val="both"/>
        <w:rPr>
          <w:rFonts w:eastAsia="Calibri"/>
        </w:rPr>
      </w:pPr>
    </w:p>
    <w:p w14:paraId="1557FF7F" w14:textId="77777777" w:rsidR="004304A2" w:rsidRPr="004304A2" w:rsidRDefault="004304A2" w:rsidP="004304A2">
      <w:pPr>
        <w:tabs>
          <w:tab w:val="left" w:pos="1690"/>
        </w:tabs>
        <w:ind w:left="720" w:hanging="720"/>
        <w:jc w:val="both"/>
        <w:rPr>
          <w:rFonts w:eastAsia="Calibri"/>
        </w:rPr>
      </w:pPr>
      <w:proofErr w:type="spellStart"/>
      <w:r w:rsidRPr="004304A2">
        <w:rPr>
          <w:rFonts w:eastAsia="Calibri"/>
        </w:rPr>
        <w:t>Rajuana</w:t>
      </w:r>
      <w:proofErr w:type="spellEnd"/>
      <w:r w:rsidRPr="004304A2">
        <w:rPr>
          <w:rFonts w:eastAsia="Calibri"/>
        </w:rPr>
        <w:t xml:space="preserve">, M., </w:t>
      </w:r>
      <w:proofErr w:type="spellStart"/>
      <w:r w:rsidRPr="004304A2">
        <w:rPr>
          <w:rFonts w:eastAsia="Calibri"/>
        </w:rPr>
        <w:t>Beijaardb</w:t>
      </w:r>
      <w:proofErr w:type="spellEnd"/>
      <w:r w:rsidRPr="004304A2">
        <w:rPr>
          <w:rFonts w:eastAsia="Calibri"/>
        </w:rPr>
        <w:t xml:space="preserve">, D., &amp; </w:t>
      </w:r>
      <w:proofErr w:type="spellStart"/>
      <w:r w:rsidRPr="004304A2">
        <w:rPr>
          <w:rFonts w:eastAsia="Calibri"/>
        </w:rPr>
        <w:t>Verloop</w:t>
      </w:r>
      <w:proofErr w:type="spellEnd"/>
      <w:r w:rsidRPr="004304A2">
        <w:rPr>
          <w:rFonts w:eastAsia="Calibri"/>
        </w:rPr>
        <w:t xml:space="preserve">, N. (2007). The role of the cooperating teacher: Bridging the gap between the expectations of cooperating teachers and student teachers. </w:t>
      </w:r>
      <w:r w:rsidRPr="004304A2">
        <w:rPr>
          <w:rFonts w:eastAsia="Calibri"/>
          <w:i/>
        </w:rPr>
        <w:t>Mentoring &amp; Tutoring, 15</w:t>
      </w:r>
      <w:r w:rsidRPr="004304A2">
        <w:rPr>
          <w:rFonts w:eastAsia="Calibri"/>
        </w:rPr>
        <w:t>(3), 223–242.</w:t>
      </w:r>
    </w:p>
    <w:p w14:paraId="6BF17AB5" w14:textId="77777777" w:rsidR="004304A2" w:rsidRPr="004304A2" w:rsidRDefault="004304A2" w:rsidP="004304A2">
      <w:pPr>
        <w:tabs>
          <w:tab w:val="left" w:pos="1690"/>
        </w:tabs>
        <w:ind w:left="720" w:hanging="720"/>
        <w:jc w:val="both"/>
        <w:rPr>
          <w:rFonts w:eastAsia="Calibri"/>
        </w:rPr>
      </w:pPr>
    </w:p>
    <w:p w14:paraId="29FD6E36" w14:textId="77777777" w:rsidR="004304A2" w:rsidRPr="004304A2" w:rsidRDefault="004304A2" w:rsidP="004304A2">
      <w:pPr>
        <w:ind w:left="720" w:hanging="720"/>
        <w:jc w:val="both"/>
        <w:rPr>
          <w:rFonts w:eastAsia="Calibri"/>
        </w:rPr>
      </w:pPr>
      <w:r w:rsidRPr="004304A2">
        <w:rPr>
          <w:rFonts w:eastAsia="Calibri"/>
        </w:rPr>
        <w:t xml:space="preserve">Roth, W., &amp; Tobin, K. (2002). </w:t>
      </w:r>
      <w:r w:rsidRPr="004304A2">
        <w:rPr>
          <w:rFonts w:eastAsia="Calibri"/>
          <w:i/>
        </w:rPr>
        <w:t>At the elbow of another: Learning to teach by co-teaching</w:t>
      </w:r>
      <w:r w:rsidRPr="004304A2">
        <w:rPr>
          <w:rFonts w:eastAsia="Calibri"/>
        </w:rPr>
        <w:t xml:space="preserve">. New York, NY: Peter Lang. </w:t>
      </w:r>
    </w:p>
    <w:p w14:paraId="7A79DC37" w14:textId="77777777" w:rsidR="004304A2" w:rsidRPr="004304A2" w:rsidRDefault="004304A2" w:rsidP="004304A2">
      <w:pPr>
        <w:ind w:left="720" w:hanging="720"/>
        <w:jc w:val="both"/>
        <w:rPr>
          <w:rFonts w:eastAsia="Calibri"/>
        </w:rPr>
      </w:pPr>
      <w:proofErr w:type="spellStart"/>
      <w:r w:rsidRPr="004304A2">
        <w:rPr>
          <w:rFonts w:eastAsia="Calibri"/>
        </w:rPr>
        <w:t>Tygret</w:t>
      </w:r>
      <w:proofErr w:type="spellEnd"/>
      <w:r w:rsidRPr="004304A2">
        <w:rPr>
          <w:rFonts w:eastAsia="Calibri"/>
        </w:rPr>
        <w:t xml:space="preserve">, J. (2017). The influence of student teachers on student achievement: A case study of teacher perspectives. </w:t>
      </w:r>
      <w:r w:rsidRPr="004304A2">
        <w:rPr>
          <w:rFonts w:eastAsia="Calibri"/>
          <w:i/>
        </w:rPr>
        <w:t xml:space="preserve">Teaching and Teacher Education, 66, </w:t>
      </w:r>
      <w:r w:rsidRPr="004304A2">
        <w:rPr>
          <w:rFonts w:eastAsia="Calibri"/>
        </w:rPr>
        <w:t>117-128.</w:t>
      </w:r>
    </w:p>
    <w:p w14:paraId="30021893" w14:textId="77777777" w:rsidR="004304A2" w:rsidRPr="004304A2" w:rsidRDefault="004304A2" w:rsidP="004304A2">
      <w:pPr>
        <w:ind w:left="720" w:hanging="720"/>
        <w:jc w:val="both"/>
        <w:rPr>
          <w:rFonts w:eastAsia="Calibri"/>
        </w:rPr>
      </w:pPr>
    </w:p>
    <w:p w14:paraId="5B759D23" w14:textId="77777777" w:rsidR="004304A2" w:rsidRPr="004304A2" w:rsidRDefault="004304A2" w:rsidP="004304A2">
      <w:pPr>
        <w:ind w:left="720" w:hanging="720"/>
        <w:jc w:val="both"/>
        <w:rPr>
          <w:rFonts w:eastAsia="Calibri"/>
        </w:rPr>
      </w:pPr>
      <w:proofErr w:type="spellStart"/>
      <w:r w:rsidRPr="004304A2">
        <w:rPr>
          <w:rFonts w:eastAsia="Calibri"/>
        </w:rPr>
        <w:t>Zeichner</w:t>
      </w:r>
      <w:proofErr w:type="spellEnd"/>
      <w:r w:rsidRPr="004304A2">
        <w:rPr>
          <w:rFonts w:eastAsia="Calibri"/>
        </w:rPr>
        <w:t xml:space="preserve">, K. (2002). Beyond traditional structures of student teaching. </w:t>
      </w:r>
      <w:r w:rsidRPr="004304A2">
        <w:rPr>
          <w:rFonts w:eastAsia="Calibri"/>
          <w:i/>
        </w:rPr>
        <w:t>Teacher Education Quarterly, 29</w:t>
      </w:r>
      <w:r w:rsidRPr="004304A2">
        <w:rPr>
          <w:rFonts w:eastAsia="Calibri"/>
        </w:rPr>
        <w:t>(2), 59-64.</w:t>
      </w:r>
    </w:p>
    <w:p w14:paraId="4A1A2A78" w14:textId="77777777" w:rsidR="004304A2" w:rsidRPr="004304A2" w:rsidRDefault="004304A2" w:rsidP="004304A2">
      <w:pPr>
        <w:spacing w:after="160" w:line="259" w:lineRule="auto"/>
        <w:rPr>
          <w:rFonts w:eastAsia="Calibri"/>
        </w:rPr>
      </w:pPr>
      <w:r w:rsidRPr="004304A2">
        <w:rPr>
          <w:rFonts w:eastAsia="Calibri"/>
        </w:rPr>
        <w:br w:type="page"/>
      </w:r>
    </w:p>
    <w:p w14:paraId="68DC26DE" w14:textId="77777777" w:rsidR="004304A2" w:rsidRPr="004304A2" w:rsidRDefault="004304A2" w:rsidP="004304A2">
      <w:pPr>
        <w:spacing w:line="480" w:lineRule="auto"/>
        <w:rPr>
          <w:rFonts w:eastAsia="Calibri"/>
          <w:b/>
        </w:rPr>
      </w:pPr>
      <w:r w:rsidRPr="004304A2">
        <w:rPr>
          <w:rFonts w:eastAsia="Calibri"/>
          <w:b/>
        </w:rPr>
        <w:t xml:space="preserve">Table 1 </w:t>
      </w:r>
    </w:p>
    <w:p w14:paraId="60CBF45A" w14:textId="77777777" w:rsidR="004304A2" w:rsidRPr="004304A2" w:rsidRDefault="004304A2" w:rsidP="004304A2">
      <w:pPr>
        <w:spacing w:line="480" w:lineRule="auto"/>
        <w:rPr>
          <w:rFonts w:eastAsia="Calibri"/>
          <w:i/>
        </w:rPr>
      </w:pPr>
      <w:r w:rsidRPr="004304A2">
        <w:rPr>
          <w:rFonts w:eastAsia="Calibri"/>
          <w:i/>
        </w:rPr>
        <w:t xml:space="preserve">Summary of Paired Samples T-Test for Kindergarten Students in Experimental Group </w:t>
      </w:r>
    </w:p>
    <w:tbl>
      <w:tblPr>
        <w:tblStyle w:val="TableGrid7"/>
        <w:tblW w:w="0" w:type="auto"/>
        <w:tblBorders>
          <w:insideV w:val="none" w:sz="0" w:space="0" w:color="auto"/>
        </w:tblBorders>
        <w:tblLook w:val="04A0" w:firstRow="1" w:lastRow="0" w:firstColumn="1" w:lastColumn="0" w:noHBand="0" w:noVBand="1"/>
      </w:tblPr>
      <w:tblGrid>
        <w:gridCol w:w="1059"/>
        <w:gridCol w:w="1017"/>
        <w:gridCol w:w="1049"/>
        <w:gridCol w:w="1050"/>
        <w:gridCol w:w="1041"/>
        <w:gridCol w:w="1041"/>
        <w:gridCol w:w="1040"/>
        <w:gridCol w:w="1017"/>
        <w:gridCol w:w="1046"/>
      </w:tblGrid>
      <w:tr w:rsidR="004304A2" w:rsidRPr="004304A2" w14:paraId="6E4BD3F1" w14:textId="77777777" w:rsidTr="00C93D65">
        <w:tc>
          <w:tcPr>
            <w:tcW w:w="1064" w:type="dxa"/>
            <w:tcBorders>
              <w:top w:val="single" w:sz="4" w:space="0" w:color="auto"/>
              <w:left w:val="nil"/>
              <w:bottom w:val="single" w:sz="4" w:space="0" w:color="auto"/>
              <w:right w:val="nil"/>
            </w:tcBorders>
            <w:hideMark/>
          </w:tcPr>
          <w:p w14:paraId="0B6A1B82" w14:textId="77777777" w:rsidR="004304A2" w:rsidRPr="004304A2" w:rsidRDefault="004304A2" w:rsidP="004304A2">
            <w:pPr>
              <w:spacing w:after="160" w:line="256" w:lineRule="auto"/>
              <w:rPr>
                <w:rFonts w:eastAsia="MS Mincho"/>
              </w:rPr>
            </w:pPr>
            <w:r w:rsidRPr="004304A2">
              <w:rPr>
                <w:rFonts w:eastAsia="MS Mincho"/>
              </w:rPr>
              <w:t>Subject</w:t>
            </w:r>
          </w:p>
        </w:tc>
        <w:tc>
          <w:tcPr>
            <w:tcW w:w="1064" w:type="dxa"/>
            <w:tcBorders>
              <w:top w:val="single" w:sz="4" w:space="0" w:color="auto"/>
              <w:left w:val="nil"/>
              <w:bottom w:val="single" w:sz="4" w:space="0" w:color="auto"/>
              <w:right w:val="nil"/>
            </w:tcBorders>
            <w:hideMark/>
          </w:tcPr>
          <w:p w14:paraId="00ADF28B" w14:textId="77777777" w:rsidR="004304A2" w:rsidRPr="004304A2" w:rsidRDefault="004304A2" w:rsidP="004304A2">
            <w:pPr>
              <w:spacing w:after="160" w:line="256" w:lineRule="auto"/>
              <w:rPr>
                <w:rFonts w:eastAsia="MS Mincho"/>
              </w:rPr>
            </w:pPr>
            <w:r w:rsidRPr="004304A2">
              <w:rPr>
                <w:rFonts w:eastAsia="MS Mincho"/>
              </w:rPr>
              <w:t>N</w:t>
            </w:r>
          </w:p>
        </w:tc>
        <w:tc>
          <w:tcPr>
            <w:tcW w:w="1064" w:type="dxa"/>
            <w:tcBorders>
              <w:top w:val="single" w:sz="4" w:space="0" w:color="auto"/>
              <w:left w:val="nil"/>
              <w:bottom w:val="single" w:sz="4" w:space="0" w:color="auto"/>
              <w:right w:val="nil"/>
            </w:tcBorders>
            <w:hideMark/>
          </w:tcPr>
          <w:p w14:paraId="2C3E6755" w14:textId="77777777" w:rsidR="004304A2" w:rsidRPr="004304A2" w:rsidRDefault="004304A2" w:rsidP="004304A2">
            <w:pPr>
              <w:spacing w:after="160" w:line="256" w:lineRule="auto"/>
              <w:rPr>
                <w:rFonts w:eastAsia="MS Mincho"/>
              </w:rPr>
            </w:pPr>
            <w:r w:rsidRPr="004304A2">
              <w:rPr>
                <w:rFonts w:eastAsia="MS Mincho"/>
              </w:rPr>
              <w:t>Fall Mean</w:t>
            </w:r>
          </w:p>
        </w:tc>
        <w:tc>
          <w:tcPr>
            <w:tcW w:w="1064" w:type="dxa"/>
            <w:tcBorders>
              <w:top w:val="single" w:sz="4" w:space="0" w:color="auto"/>
              <w:left w:val="nil"/>
              <w:bottom w:val="single" w:sz="4" w:space="0" w:color="auto"/>
              <w:right w:val="nil"/>
            </w:tcBorders>
            <w:hideMark/>
          </w:tcPr>
          <w:p w14:paraId="710F017E" w14:textId="77777777" w:rsidR="004304A2" w:rsidRPr="004304A2" w:rsidRDefault="004304A2" w:rsidP="004304A2">
            <w:pPr>
              <w:spacing w:after="160" w:line="256" w:lineRule="auto"/>
              <w:rPr>
                <w:rFonts w:eastAsia="MS Mincho"/>
              </w:rPr>
            </w:pPr>
            <w:r w:rsidRPr="004304A2">
              <w:rPr>
                <w:rFonts w:eastAsia="MS Mincho"/>
              </w:rPr>
              <w:t xml:space="preserve">Winter Mean </w:t>
            </w:r>
          </w:p>
        </w:tc>
        <w:tc>
          <w:tcPr>
            <w:tcW w:w="1064" w:type="dxa"/>
            <w:tcBorders>
              <w:top w:val="single" w:sz="4" w:space="0" w:color="auto"/>
              <w:left w:val="nil"/>
              <w:bottom w:val="single" w:sz="4" w:space="0" w:color="auto"/>
              <w:right w:val="nil"/>
            </w:tcBorders>
            <w:hideMark/>
          </w:tcPr>
          <w:p w14:paraId="67B92D67" w14:textId="77777777" w:rsidR="004304A2" w:rsidRPr="004304A2" w:rsidRDefault="004304A2" w:rsidP="004304A2">
            <w:pPr>
              <w:spacing w:after="160" w:line="256" w:lineRule="auto"/>
              <w:rPr>
                <w:rFonts w:eastAsia="MS Mincho"/>
              </w:rPr>
            </w:pPr>
            <w:r w:rsidRPr="004304A2">
              <w:rPr>
                <w:rFonts w:eastAsia="MS Mincho"/>
              </w:rPr>
              <w:t>Mean Diff</w:t>
            </w:r>
          </w:p>
        </w:tc>
        <w:tc>
          <w:tcPr>
            <w:tcW w:w="1064" w:type="dxa"/>
            <w:tcBorders>
              <w:top w:val="single" w:sz="4" w:space="0" w:color="auto"/>
              <w:left w:val="nil"/>
              <w:bottom w:val="single" w:sz="4" w:space="0" w:color="auto"/>
              <w:right w:val="nil"/>
            </w:tcBorders>
            <w:hideMark/>
          </w:tcPr>
          <w:p w14:paraId="460FBCEE" w14:textId="77777777" w:rsidR="004304A2" w:rsidRPr="004304A2" w:rsidRDefault="004304A2" w:rsidP="004304A2">
            <w:pPr>
              <w:spacing w:after="160" w:line="256" w:lineRule="auto"/>
              <w:rPr>
                <w:rFonts w:eastAsia="MS Mincho"/>
              </w:rPr>
            </w:pPr>
            <w:r w:rsidRPr="004304A2">
              <w:rPr>
                <w:rFonts w:eastAsia="MS Mincho"/>
              </w:rPr>
              <w:t>SD Mean Diff</w:t>
            </w:r>
          </w:p>
        </w:tc>
        <w:tc>
          <w:tcPr>
            <w:tcW w:w="1064" w:type="dxa"/>
            <w:tcBorders>
              <w:top w:val="single" w:sz="4" w:space="0" w:color="auto"/>
              <w:left w:val="nil"/>
              <w:bottom w:val="single" w:sz="4" w:space="0" w:color="auto"/>
              <w:right w:val="nil"/>
            </w:tcBorders>
            <w:hideMark/>
          </w:tcPr>
          <w:p w14:paraId="64CFE19B" w14:textId="77777777" w:rsidR="004304A2" w:rsidRPr="004304A2" w:rsidRDefault="004304A2" w:rsidP="004304A2">
            <w:pPr>
              <w:spacing w:after="160" w:line="256" w:lineRule="auto"/>
              <w:rPr>
                <w:rFonts w:eastAsia="MS Mincho"/>
              </w:rPr>
            </w:pPr>
            <w:r w:rsidRPr="004304A2">
              <w:rPr>
                <w:rFonts w:eastAsia="MS Mincho"/>
              </w:rPr>
              <w:t>t-value</w:t>
            </w:r>
          </w:p>
        </w:tc>
        <w:tc>
          <w:tcPr>
            <w:tcW w:w="1064" w:type="dxa"/>
            <w:tcBorders>
              <w:top w:val="single" w:sz="4" w:space="0" w:color="auto"/>
              <w:left w:val="nil"/>
              <w:bottom w:val="single" w:sz="4" w:space="0" w:color="auto"/>
              <w:right w:val="nil"/>
            </w:tcBorders>
            <w:hideMark/>
          </w:tcPr>
          <w:p w14:paraId="160EEDC6" w14:textId="77777777" w:rsidR="004304A2" w:rsidRPr="004304A2" w:rsidRDefault="004304A2" w:rsidP="004304A2">
            <w:pPr>
              <w:spacing w:after="160" w:line="256" w:lineRule="auto"/>
              <w:rPr>
                <w:rFonts w:eastAsia="MS Mincho"/>
              </w:rPr>
            </w:pPr>
            <w:r w:rsidRPr="004304A2">
              <w:rPr>
                <w:rFonts w:eastAsia="MS Mincho"/>
                <w:i/>
              </w:rPr>
              <w:t>df</w:t>
            </w:r>
          </w:p>
        </w:tc>
        <w:tc>
          <w:tcPr>
            <w:tcW w:w="1064" w:type="dxa"/>
            <w:tcBorders>
              <w:top w:val="single" w:sz="4" w:space="0" w:color="auto"/>
              <w:left w:val="nil"/>
              <w:bottom w:val="single" w:sz="4" w:space="0" w:color="auto"/>
              <w:right w:val="nil"/>
            </w:tcBorders>
            <w:hideMark/>
          </w:tcPr>
          <w:p w14:paraId="55C47F13" w14:textId="77777777" w:rsidR="004304A2" w:rsidRPr="004304A2" w:rsidRDefault="004304A2" w:rsidP="004304A2">
            <w:pPr>
              <w:spacing w:after="160" w:line="256" w:lineRule="auto"/>
              <w:rPr>
                <w:rFonts w:eastAsia="MS Mincho"/>
              </w:rPr>
            </w:pPr>
            <w:r w:rsidRPr="004304A2">
              <w:rPr>
                <w:rFonts w:eastAsia="MS Mincho"/>
              </w:rPr>
              <w:t>Sig-(2-tailed)</w:t>
            </w:r>
          </w:p>
        </w:tc>
      </w:tr>
      <w:tr w:rsidR="004304A2" w:rsidRPr="004304A2" w14:paraId="158B27BF" w14:textId="77777777" w:rsidTr="00C93D65">
        <w:tc>
          <w:tcPr>
            <w:tcW w:w="1064" w:type="dxa"/>
            <w:tcBorders>
              <w:top w:val="single" w:sz="4" w:space="0" w:color="auto"/>
              <w:left w:val="nil"/>
              <w:bottom w:val="nil"/>
              <w:right w:val="nil"/>
            </w:tcBorders>
            <w:hideMark/>
          </w:tcPr>
          <w:p w14:paraId="6E0EAECC" w14:textId="77777777" w:rsidR="004304A2" w:rsidRPr="004304A2" w:rsidRDefault="004304A2" w:rsidP="004304A2">
            <w:pPr>
              <w:spacing w:after="160" w:line="256" w:lineRule="auto"/>
              <w:rPr>
                <w:rFonts w:eastAsia="MS Mincho"/>
              </w:rPr>
            </w:pPr>
            <w:r w:rsidRPr="004304A2">
              <w:rPr>
                <w:rFonts w:eastAsia="MS Mincho"/>
              </w:rPr>
              <w:t>Math</w:t>
            </w:r>
          </w:p>
        </w:tc>
        <w:tc>
          <w:tcPr>
            <w:tcW w:w="1064" w:type="dxa"/>
            <w:tcBorders>
              <w:top w:val="single" w:sz="4" w:space="0" w:color="auto"/>
              <w:left w:val="nil"/>
              <w:bottom w:val="nil"/>
              <w:right w:val="nil"/>
            </w:tcBorders>
            <w:hideMark/>
          </w:tcPr>
          <w:p w14:paraId="4454B7D4" w14:textId="77777777" w:rsidR="004304A2" w:rsidRPr="004304A2" w:rsidRDefault="004304A2" w:rsidP="004304A2">
            <w:pPr>
              <w:spacing w:after="160" w:line="256" w:lineRule="auto"/>
              <w:rPr>
                <w:rFonts w:eastAsia="MS Mincho"/>
                <w:b/>
              </w:rPr>
            </w:pPr>
            <w:r w:rsidRPr="004304A2">
              <w:rPr>
                <w:rFonts w:eastAsia="MS Mincho"/>
              </w:rPr>
              <w:t>39</w:t>
            </w:r>
          </w:p>
        </w:tc>
        <w:tc>
          <w:tcPr>
            <w:tcW w:w="1064" w:type="dxa"/>
            <w:tcBorders>
              <w:top w:val="single" w:sz="4" w:space="0" w:color="auto"/>
              <w:left w:val="nil"/>
              <w:bottom w:val="nil"/>
              <w:right w:val="nil"/>
            </w:tcBorders>
            <w:hideMark/>
          </w:tcPr>
          <w:p w14:paraId="011D1344" w14:textId="77777777" w:rsidR="004304A2" w:rsidRPr="004304A2" w:rsidRDefault="004304A2" w:rsidP="004304A2">
            <w:pPr>
              <w:spacing w:after="160" w:line="256" w:lineRule="auto"/>
              <w:rPr>
                <w:rFonts w:eastAsia="MS Mincho"/>
              </w:rPr>
            </w:pPr>
            <w:r w:rsidRPr="004304A2">
              <w:rPr>
                <w:rFonts w:eastAsia="MS Mincho"/>
              </w:rPr>
              <w:t>136.41</w:t>
            </w:r>
          </w:p>
        </w:tc>
        <w:tc>
          <w:tcPr>
            <w:tcW w:w="1064" w:type="dxa"/>
            <w:tcBorders>
              <w:top w:val="single" w:sz="4" w:space="0" w:color="auto"/>
              <w:left w:val="nil"/>
              <w:bottom w:val="nil"/>
              <w:right w:val="nil"/>
            </w:tcBorders>
            <w:hideMark/>
          </w:tcPr>
          <w:p w14:paraId="5378C39C" w14:textId="77777777" w:rsidR="004304A2" w:rsidRPr="004304A2" w:rsidRDefault="004304A2" w:rsidP="004304A2">
            <w:pPr>
              <w:spacing w:after="160" w:line="256" w:lineRule="auto"/>
              <w:rPr>
                <w:rFonts w:eastAsia="MS Mincho"/>
              </w:rPr>
            </w:pPr>
            <w:r w:rsidRPr="004304A2">
              <w:rPr>
                <w:rFonts w:eastAsia="MS Mincho"/>
              </w:rPr>
              <w:t>145.51</w:t>
            </w:r>
          </w:p>
        </w:tc>
        <w:tc>
          <w:tcPr>
            <w:tcW w:w="1064" w:type="dxa"/>
            <w:tcBorders>
              <w:top w:val="single" w:sz="4" w:space="0" w:color="auto"/>
              <w:left w:val="nil"/>
              <w:bottom w:val="nil"/>
              <w:right w:val="nil"/>
            </w:tcBorders>
            <w:hideMark/>
          </w:tcPr>
          <w:p w14:paraId="5AF52272" w14:textId="77777777" w:rsidR="004304A2" w:rsidRPr="004304A2" w:rsidRDefault="004304A2" w:rsidP="004304A2">
            <w:pPr>
              <w:spacing w:after="160" w:line="256" w:lineRule="auto"/>
              <w:rPr>
                <w:rFonts w:eastAsia="MS Mincho"/>
              </w:rPr>
            </w:pPr>
            <w:r w:rsidRPr="004304A2">
              <w:rPr>
                <w:rFonts w:eastAsia="MS Mincho"/>
              </w:rPr>
              <w:t>9.103</w:t>
            </w:r>
          </w:p>
        </w:tc>
        <w:tc>
          <w:tcPr>
            <w:tcW w:w="1064" w:type="dxa"/>
            <w:tcBorders>
              <w:top w:val="single" w:sz="4" w:space="0" w:color="auto"/>
              <w:left w:val="nil"/>
              <w:bottom w:val="nil"/>
              <w:right w:val="nil"/>
            </w:tcBorders>
            <w:hideMark/>
          </w:tcPr>
          <w:p w14:paraId="09374E80" w14:textId="77777777" w:rsidR="004304A2" w:rsidRPr="004304A2" w:rsidRDefault="004304A2" w:rsidP="004304A2">
            <w:pPr>
              <w:spacing w:after="160" w:line="256" w:lineRule="auto"/>
              <w:rPr>
                <w:rFonts w:eastAsia="MS Mincho"/>
              </w:rPr>
            </w:pPr>
            <w:r w:rsidRPr="004304A2">
              <w:rPr>
                <w:rFonts w:eastAsia="MS Mincho"/>
              </w:rPr>
              <w:t>8.394</w:t>
            </w:r>
          </w:p>
        </w:tc>
        <w:tc>
          <w:tcPr>
            <w:tcW w:w="1064" w:type="dxa"/>
            <w:tcBorders>
              <w:top w:val="single" w:sz="4" w:space="0" w:color="auto"/>
              <w:left w:val="nil"/>
              <w:bottom w:val="nil"/>
              <w:right w:val="nil"/>
            </w:tcBorders>
            <w:hideMark/>
          </w:tcPr>
          <w:p w14:paraId="29CB4B3C" w14:textId="77777777" w:rsidR="004304A2" w:rsidRPr="004304A2" w:rsidRDefault="004304A2" w:rsidP="004304A2">
            <w:pPr>
              <w:spacing w:after="160" w:line="256" w:lineRule="auto"/>
              <w:rPr>
                <w:rFonts w:eastAsia="MS Mincho"/>
              </w:rPr>
            </w:pPr>
            <w:r w:rsidRPr="004304A2">
              <w:rPr>
                <w:rFonts w:eastAsia="MS Mincho"/>
              </w:rPr>
              <w:t>6.772</w:t>
            </w:r>
          </w:p>
        </w:tc>
        <w:tc>
          <w:tcPr>
            <w:tcW w:w="1064" w:type="dxa"/>
            <w:tcBorders>
              <w:top w:val="single" w:sz="4" w:space="0" w:color="auto"/>
              <w:left w:val="nil"/>
              <w:bottom w:val="nil"/>
              <w:right w:val="nil"/>
            </w:tcBorders>
            <w:hideMark/>
          </w:tcPr>
          <w:p w14:paraId="77120241" w14:textId="77777777" w:rsidR="004304A2" w:rsidRPr="004304A2" w:rsidRDefault="004304A2" w:rsidP="004304A2">
            <w:pPr>
              <w:spacing w:after="160" w:line="256" w:lineRule="auto"/>
              <w:rPr>
                <w:rFonts w:eastAsia="MS Mincho"/>
              </w:rPr>
            </w:pPr>
            <w:r w:rsidRPr="004304A2">
              <w:rPr>
                <w:rFonts w:eastAsia="MS Mincho"/>
              </w:rPr>
              <w:t>38</w:t>
            </w:r>
          </w:p>
        </w:tc>
        <w:tc>
          <w:tcPr>
            <w:tcW w:w="1064" w:type="dxa"/>
            <w:tcBorders>
              <w:top w:val="single" w:sz="4" w:space="0" w:color="auto"/>
              <w:left w:val="nil"/>
              <w:bottom w:val="nil"/>
              <w:right w:val="nil"/>
            </w:tcBorders>
            <w:hideMark/>
          </w:tcPr>
          <w:p w14:paraId="08ED6011" w14:textId="77777777" w:rsidR="004304A2" w:rsidRPr="004304A2" w:rsidRDefault="004304A2" w:rsidP="004304A2">
            <w:pPr>
              <w:spacing w:after="160" w:line="256" w:lineRule="auto"/>
              <w:rPr>
                <w:rFonts w:eastAsia="MS Mincho"/>
              </w:rPr>
            </w:pPr>
            <w:r w:rsidRPr="004304A2">
              <w:rPr>
                <w:rFonts w:eastAsia="MS Mincho"/>
              </w:rPr>
              <w:t>.000</w:t>
            </w:r>
          </w:p>
        </w:tc>
      </w:tr>
      <w:tr w:rsidR="004304A2" w:rsidRPr="004304A2" w14:paraId="081E56F1" w14:textId="77777777" w:rsidTr="004304A2">
        <w:tc>
          <w:tcPr>
            <w:tcW w:w="1064" w:type="dxa"/>
            <w:tcBorders>
              <w:top w:val="nil"/>
              <w:left w:val="nil"/>
              <w:bottom w:val="single" w:sz="4" w:space="0" w:color="auto"/>
              <w:right w:val="nil"/>
            </w:tcBorders>
            <w:hideMark/>
          </w:tcPr>
          <w:p w14:paraId="16808D60" w14:textId="77777777" w:rsidR="004304A2" w:rsidRPr="004304A2" w:rsidRDefault="004304A2" w:rsidP="004304A2">
            <w:pPr>
              <w:spacing w:after="160" w:line="256" w:lineRule="auto"/>
              <w:rPr>
                <w:rFonts w:eastAsia="MS Mincho"/>
              </w:rPr>
            </w:pPr>
            <w:r w:rsidRPr="004304A2">
              <w:rPr>
                <w:rFonts w:eastAsia="MS Mincho"/>
              </w:rPr>
              <w:t>Reading</w:t>
            </w:r>
          </w:p>
        </w:tc>
        <w:tc>
          <w:tcPr>
            <w:tcW w:w="1064" w:type="dxa"/>
            <w:tcBorders>
              <w:top w:val="nil"/>
              <w:left w:val="nil"/>
              <w:bottom w:val="single" w:sz="4" w:space="0" w:color="auto"/>
              <w:right w:val="nil"/>
            </w:tcBorders>
            <w:hideMark/>
          </w:tcPr>
          <w:p w14:paraId="5CBC5E2F" w14:textId="77777777" w:rsidR="004304A2" w:rsidRPr="004304A2" w:rsidRDefault="004304A2" w:rsidP="004304A2">
            <w:pPr>
              <w:spacing w:after="160" w:line="256" w:lineRule="auto"/>
              <w:rPr>
                <w:rFonts w:eastAsia="MS Mincho"/>
              </w:rPr>
            </w:pPr>
            <w:r w:rsidRPr="004304A2">
              <w:rPr>
                <w:rFonts w:eastAsia="MS Mincho"/>
              </w:rPr>
              <w:t>39</w:t>
            </w:r>
          </w:p>
        </w:tc>
        <w:tc>
          <w:tcPr>
            <w:tcW w:w="1064" w:type="dxa"/>
            <w:tcBorders>
              <w:top w:val="nil"/>
              <w:left w:val="nil"/>
              <w:bottom w:val="single" w:sz="4" w:space="0" w:color="auto"/>
              <w:right w:val="nil"/>
            </w:tcBorders>
            <w:hideMark/>
          </w:tcPr>
          <w:p w14:paraId="417627C3" w14:textId="77777777" w:rsidR="004304A2" w:rsidRPr="004304A2" w:rsidRDefault="004304A2" w:rsidP="004304A2">
            <w:pPr>
              <w:spacing w:after="160" w:line="256" w:lineRule="auto"/>
              <w:rPr>
                <w:rFonts w:eastAsia="MS Mincho"/>
              </w:rPr>
            </w:pPr>
            <w:r w:rsidRPr="004304A2">
              <w:rPr>
                <w:rFonts w:eastAsia="MS Mincho"/>
              </w:rPr>
              <w:t>139.08</w:t>
            </w:r>
          </w:p>
        </w:tc>
        <w:tc>
          <w:tcPr>
            <w:tcW w:w="1064" w:type="dxa"/>
            <w:tcBorders>
              <w:top w:val="nil"/>
              <w:left w:val="nil"/>
              <w:bottom w:val="single" w:sz="4" w:space="0" w:color="auto"/>
              <w:right w:val="nil"/>
            </w:tcBorders>
            <w:hideMark/>
          </w:tcPr>
          <w:p w14:paraId="6CE032E3" w14:textId="77777777" w:rsidR="004304A2" w:rsidRPr="004304A2" w:rsidRDefault="004304A2" w:rsidP="004304A2">
            <w:pPr>
              <w:spacing w:after="160" w:line="256" w:lineRule="auto"/>
              <w:rPr>
                <w:rFonts w:eastAsia="MS Mincho"/>
              </w:rPr>
            </w:pPr>
            <w:r w:rsidRPr="004304A2">
              <w:rPr>
                <w:rFonts w:eastAsia="MS Mincho"/>
              </w:rPr>
              <w:t>146.92</w:t>
            </w:r>
          </w:p>
        </w:tc>
        <w:tc>
          <w:tcPr>
            <w:tcW w:w="1064" w:type="dxa"/>
            <w:tcBorders>
              <w:top w:val="nil"/>
              <w:left w:val="nil"/>
              <w:bottom w:val="single" w:sz="4" w:space="0" w:color="auto"/>
              <w:right w:val="nil"/>
            </w:tcBorders>
            <w:hideMark/>
          </w:tcPr>
          <w:p w14:paraId="700D2081" w14:textId="77777777" w:rsidR="004304A2" w:rsidRPr="004304A2" w:rsidRDefault="004304A2" w:rsidP="004304A2">
            <w:pPr>
              <w:spacing w:after="160" w:line="256" w:lineRule="auto"/>
              <w:rPr>
                <w:rFonts w:eastAsia="MS Mincho"/>
              </w:rPr>
            </w:pPr>
            <w:r w:rsidRPr="004304A2">
              <w:rPr>
                <w:rFonts w:eastAsia="MS Mincho"/>
              </w:rPr>
              <w:t>7.846</w:t>
            </w:r>
          </w:p>
        </w:tc>
        <w:tc>
          <w:tcPr>
            <w:tcW w:w="1064" w:type="dxa"/>
            <w:tcBorders>
              <w:top w:val="nil"/>
              <w:left w:val="nil"/>
              <w:bottom w:val="single" w:sz="4" w:space="0" w:color="auto"/>
              <w:right w:val="nil"/>
            </w:tcBorders>
            <w:hideMark/>
          </w:tcPr>
          <w:p w14:paraId="42A4E063" w14:textId="77777777" w:rsidR="004304A2" w:rsidRPr="004304A2" w:rsidRDefault="004304A2" w:rsidP="004304A2">
            <w:pPr>
              <w:spacing w:after="160" w:line="256" w:lineRule="auto"/>
              <w:rPr>
                <w:rFonts w:eastAsia="MS Mincho"/>
              </w:rPr>
            </w:pPr>
            <w:r w:rsidRPr="004304A2">
              <w:rPr>
                <w:rFonts w:eastAsia="MS Mincho"/>
              </w:rPr>
              <w:t>7.286</w:t>
            </w:r>
          </w:p>
        </w:tc>
        <w:tc>
          <w:tcPr>
            <w:tcW w:w="1064" w:type="dxa"/>
            <w:tcBorders>
              <w:top w:val="nil"/>
              <w:left w:val="nil"/>
              <w:bottom w:val="single" w:sz="4" w:space="0" w:color="auto"/>
              <w:right w:val="nil"/>
            </w:tcBorders>
            <w:hideMark/>
          </w:tcPr>
          <w:p w14:paraId="4A41029E" w14:textId="77777777" w:rsidR="004304A2" w:rsidRPr="004304A2" w:rsidRDefault="004304A2" w:rsidP="004304A2">
            <w:pPr>
              <w:spacing w:after="160" w:line="256" w:lineRule="auto"/>
              <w:rPr>
                <w:rFonts w:eastAsia="MS Mincho"/>
              </w:rPr>
            </w:pPr>
            <w:r w:rsidRPr="004304A2">
              <w:rPr>
                <w:rFonts w:eastAsia="MS Mincho"/>
              </w:rPr>
              <w:t>6.725</w:t>
            </w:r>
          </w:p>
        </w:tc>
        <w:tc>
          <w:tcPr>
            <w:tcW w:w="1064" w:type="dxa"/>
            <w:tcBorders>
              <w:top w:val="nil"/>
              <w:left w:val="nil"/>
              <w:bottom w:val="single" w:sz="4" w:space="0" w:color="auto"/>
              <w:right w:val="nil"/>
            </w:tcBorders>
            <w:hideMark/>
          </w:tcPr>
          <w:p w14:paraId="3B0E3A45" w14:textId="77777777" w:rsidR="004304A2" w:rsidRPr="004304A2" w:rsidRDefault="004304A2" w:rsidP="004304A2">
            <w:pPr>
              <w:spacing w:after="160" w:line="256" w:lineRule="auto"/>
              <w:rPr>
                <w:rFonts w:eastAsia="MS Mincho"/>
              </w:rPr>
            </w:pPr>
            <w:r w:rsidRPr="004304A2">
              <w:rPr>
                <w:rFonts w:eastAsia="MS Mincho"/>
              </w:rPr>
              <w:t>38</w:t>
            </w:r>
          </w:p>
        </w:tc>
        <w:tc>
          <w:tcPr>
            <w:tcW w:w="1064" w:type="dxa"/>
            <w:tcBorders>
              <w:top w:val="nil"/>
              <w:left w:val="nil"/>
              <w:bottom w:val="single" w:sz="4" w:space="0" w:color="auto"/>
              <w:right w:val="nil"/>
            </w:tcBorders>
            <w:shd w:val="clear" w:color="auto" w:fill="FFFFFF"/>
            <w:hideMark/>
          </w:tcPr>
          <w:p w14:paraId="2BDE3EDC" w14:textId="77777777" w:rsidR="004304A2" w:rsidRPr="004304A2" w:rsidRDefault="004304A2" w:rsidP="004304A2">
            <w:pPr>
              <w:spacing w:after="160" w:line="256" w:lineRule="auto"/>
              <w:rPr>
                <w:rFonts w:eastAsia="MS Mincho"/>
              </w:rPr>
            </w:pPr>
            <w:r w:rsidRPr="004304A2">
              <w:rPr>
                <w:rFonts w:eastAsia="MS Mincho"/>
              </w:rPr>
              <w:t>.000</w:t>
            </w:r>
          </w:p>
        </w:tc>
      </w:tr>
    </w:tbl>
    <w:p w14:paraId="0EFA06F0" w14:textId="77777777" w:rsidR="004304A2" w:rsidRPr="004304A2" w:rsidRDefault="004304A2" w:rsidP="004304A2">
      <w:pPr>
        <w:spacing w:after="160" w:line="256" w:lineRule="auto"/>
        <w:rPr>
          <w:rFonts w:eastAsia="Calibri"/>
          <w:b/>
        </w:rPr>
      </w:pPr>
    </w:p>
    <w:p w14:paraId="28E8DF2F" w14:textId="77777777" w:rsidR="004304A2" w:rsidRPr="004304A2" w:rsidRDefault="004304A2" w:rsidP="004304A2">
      <w:pPr>
        <w:spacing w:line="480" w:lineRule="auto"/>
        <w:rPr>
          <w:rFonts w:eastAsia="Calibri"/>
          <w:b/>
        </w:rPr>
      </w:pPr>
      <w:r w:rsidRPr="004304A2">
        <w:rPr>
          <w:rFonts w:eastAsia="Calibri"/>
          <w:b/>
        </w:rPr>
        <w:t xml:space="preserve">Table 2 </w:t>
      </w:r>
    </w:p>
    <w:p w14:paraId="08C6D82F" w14:textId="77777777" w:rsidR="004304A2" w:rsidRPr="004304A2" w:rsidRDefault="004304A2" w:rsidP="004304A2">
      <w:pPr>
        <w:spacing w:line="480" w:lineRule="auto"/>
        <w:rPr>
          <w:rFonts w:eastAsia="Calibri"/>
          <w:i/>
        </w:rPr>
      </w:pPr>
      <w:r w:rsidRPr="004304A2">
        <w:rPr>
          <w:rFonts w:eastAsia="Calibri"/>
          <w:i/>
        </w:rPr>
        <w:t xml:space="preserve">Summary of Paired Samples T-Test for First-Grade Students in Experimental Group </w:t>
      </w:r>
    </w:p>
    <w:tbl>
      <w:tblPr>
        <w:tblStyle w:val="TableGrid7"/>
        <w:tblW w:w="0" w:type="auto"/>
        <w:tblBorders>
          <w:insideV w:val="none" w:sz="0" w:space="0" w:color="auto"/>
        </w:tblBorders>
        <w:tblLook w:val="04A0" w:firstRow="1" w:lastRow="0" w:firstColumn="1" w:lastColumn="0" w:noHBand="0" w:noVBand="1"/>
      </w:tblPr>
      <w:tblGrid>
        <w:gridCol w:w="1060"/>
        <w:gridCol w:w="1007"/>
        <w:gridCol w:w="1058"/>
        <w:gridCol w:w="1058"/>
        <w:gridCol w:w="1046"/>
        <w:gridCol w:w="1036"/>
        <w:gridCol w:w="1046"/>
        <w:gridCol w:w="1007"/>
        <w:gridCol w:w="1042"/>
      </w:tblGrid>
      <w:tr w:rsidR="004304A2" w:rsidRPr="004304A2" w14:paraId="152C8487" w14:textId="77777777" w:rsidTr="00C93D65">
        <w:tc>
          <w:tcPr>
            <w:tcW w:w="1064" w:type="dxa"/>
            <w:tcBorders>
              <w:top w:val="single" w:sz="4" w:space="0" w:color="auto"/>
              <w:left w:val="nil"/>
              <w:bottom w:val="single" w:sz="4" w:space="0" w:color="auto"/>
              <w:right w:val="nil"/>
            </w:tcBorders>
            <w:hideMark/>
          </w:tcPr>
          <w:p w14:paraId="4F6028D6" w14:textId="77777777" w:rsidR="004304A2" w:rsidRPr="004304A2" w:rsidRDefault="004304A2" w:rsidP="004304A2">
            <w:pPr>
              <w:spacing w:after="160" w:line="256" w:lineRule="auto"/>
              <w:rPr>
                <w:rFonts w:eastAsia="MS Mincho"/>
              </w:rPr>
            </w:pPr>
            <w:r w:rsidRPr="004304A2">
              <w:rPr>
                <w:rFonts w:eastAsia="MS Mincho"/>
              </w:rPr>
              <w:t>Subject</w:t>
            </w:r>
          </w:p>
        </w:tc>
        <w:tc>
          <w:tcPr>
            <w:tcW w:w="1064" w:type="dxa"/>
            <w:tcBorders>
              <w:top w:val="single" w:sz="4" w:space="0" w:color="auto"/>
              <w:left w:val="nil"/>
              <w:bottom w:val="single" w:sz="4" w:space="0" w:color="auto"/>
              <w:right w:val="nil"/>
            </w:tcBorders>
            <w:hideMark/>
          </w:tcPr>
          <w:p w14:paraId="370B8890" w14:textId="77777777" w:rsidR="004304A2" w:rsidRPr="004304A2" w:rsidRDefault="004304A2" w:rsidP="004304A2">
            <w:pPr>
              <w:spacing w:after="160" w:line="256" w:lineRule="auto"/>
              <w:rPr>
                <w:rFonts w:eastAsia="MS Mincho"/>
              </w:rPr>
            </w:pPr>
            <w:r w:rsidRPr="004304A2">
              <w:rPr>
                <w:rFonts w:eastAsia="MS Mincho"/>
              </w:rPr>
              <w:t>N</w:t>
            </w:r>
          </w:p>
        </w:tc>
        <w:tc>
          <w:tcPr>
            <w:tcW w:w="1064" w:type="dxa"/>
            <w:tcBorders>
              <w:top w:val="single" w:sz="4" w:space="0" w:color="auto"/>
              <w:left w:val="nil"/>
              <w:bottom w:val="single" w:sz="4" w:space="0" w:color="auto"/>
              <w:right w:val="nil"/>
            </w:tcBorders>
            <w:hideMark/>
          </w:tcPr>
          <w:p w14:paraId="5082C897" w14:textId="77777777" w:rsidR="004304A2" w:rsidRPr="004304A2" w:rsidRDefault="004304A2" w:rsidP="004304A2">
            <w:pPr>
              <w:spacing w:after="160" w:line="256" w:lineRule="auto"/>
              <w:rPr>
                <w:rFonts w:eastAsia="MS Mincho"/>
              </w:rPr>
            </w:pPr>
            <w:r w:rsidRPr="004304A2">
              <w:rPr>
                <w:rFonts w:eastAsia="MS Mincho"/>
              </w:rPr>
              <w:t>Fall Mean</w:t>
            </w:r>
          </w:p>
        </w:tc>
        <w:tc>
          <w:tcPr>
            <w:tcW w:w="1064" w:type="dxa"/>
            <w:tcBorders>
              <w:top w:val="single" w:sz="4" w:space="0" w:color="auto"/>
              <w:left w:val="nil"/>
              <w:bottom w:val="single" w:sz="4" w:space="0" w:color="auto"/>
              <w:right w:val="nil"/>
            </w:tcBorders>
            <w:hideMark/>
          </w:tcPr>
          <w:p w14:paraId="44561F3F" w14:textId="77777777" w:rsidR="004304A2" w:rsidRPr="004304A2" w:rsidRDefault="004304A2" w:rsidP="004304A2">
            <w:pPr>
              <w:spacing w:after="160" w:line="256" w:lineRule="auto"/>
              <w:rPr>
                <w:rFonts w:eastAsia="MS Mincho"/>
              </w:rPr>
            </w:pPr>
            <w:r w:rsidRPr="004304A2">
              <w:rPr>
                <w:rFonts w:eastAsia="MS Mincho"/>
              </w:rPr>
              <w:t xml:space="preserve">Winter Mean </w:t>
            </w:r>
          </w:p>
        </w:tc>
        <w:tc>
          <w:tcPr>
            <w:tcW w:w="1064" w:type="dxa"/>
            <w:tcBorders>
              <w:top w:val="single" w:sz="4" w:space="0" w:color="auto"/>
              <w:left w:val="nil"/>
              <w:bottom w:val="single" w:sz="4" w:space="0" w:color="auto"/>
              <w:right w:val="nil"/>
            </w:tcBorders>
            <w:hideMark/>
          </w:tcPr>
          <w:p w14:paraId="36F99E49" w14:textId="77777777" w:rsidR="004304A2" w:rsidRPr="004304A2" w:rsidRDefault="004304A2" w:rsidP="004304A2">
            <w:pPr>
              <w:spacing w:after="160" w:line="256" w:lineRule="auto"/>
              <w:rPr>
                <w:rFonts w:eastAsia="MS Mincho"/>
              </w:rPr>
            </w:pPr>
            <w:r w:rsidRPr="004304A2">
              <w:rPr>
                <w:rFonts w:eastAsia="MS Mincho"/>
              </w:rPr>
              <w:t>Mean Diff</w:t>
            </w:r>
          </w:p>
        </w:tc>
        <w:tc>
          <w:tcPr>
            <w:tcW w:w="1064" w:type="dxa"/>
            <w:tcBorders>
              <w:top w:val="single" w:sz="4" w:space="0" w:color="auto"/>
              <w:left w:val="nil"/>
              <w:bottom w:val="single" w:sz="4" w:space="0" w:color="auto"/>
              <w:right w:val="nil"/>
            </w:tcBorders>
            <w:hideMark/>
          </w:tcPr>
          <w:p w14:paraId="213A2DAA" w14:textId="77777777" w:rsidR="004304A2" w:rsidRPr="004304A2" w:rsidRDefault="004304A2" w:rsidP="004304A2">
            <w:pPr>
              <w:spacing w:after="160" w:line="256" w:lineRule="auto"/>
              <w:rPr>
                <w:rFonts w:eastAsia="MS Mincho"/>
              </w:rPr>
            </w:pPr>
            <w:r w:rsidRPr="004304A2">
              <w:rPr>
                <w:rFonts w:eastAsia="MS Mincho"/>
              </w:rPr>
              <w:t>SD Mean Diff</w:t>
            </w:r>
          </w:p>
        </w:tc>
        <w:tc>
          <w:tcPr>
            <w:tcW w:w="1064" w:type="dxa"/>
            <w:tcBorders>
              <w:top w:val="single" w:sz="4" w:space="0" w:color="auto"/>
              <w:left w:val="nil"/>
              <w:bottom w:val="single" w:sz="4" w:space="0" w:color="auto"/>
              <w:right w:val="nil"/>
            </w:tcBorders>
            <w:hideMark/>
          </w:tcPr>
          <w:p w14:paraId="4FF68FC0" w14:textId="77777777" w:rsidR="004304A2" w:rsidRPr="004304A2" w:rsidRDefault="004304A2" w:rsidP="004304A2">
            <w:pPr>
              <w:spacing w:after="160" w:line="256" w:lineRule="auto"/>
              <w:rPr>
                <w:rFonts w:eastAsia="MS Mincho"/>
              </w:rPr>
            </w:pPr>
            <w:r w:rsidRPr="004304A2">
              <w:rPr>
                <w:rFonts w:eastAsia="MS Mincho"/>
              </w:rPr>
              <w:t>t-value</w:t>
            </w:r>
          </w:p>
        </w:tc>
        <w:tc>
          <w:tcPr>
            <w:tcW w:w="1064" w:type="dxa"/>
            <w:tcBorders>
              <w:top w:val="single" w:sz="4" w:space="0" w:color="auto"/>
              <w:left w:val="nil"/>
              <w:bottom w:val="single" w:sz="4" w:space="0" w:color="auto"/>
              <w:right w:val="nil"/>
            </w:tcBorders>
            <w:hideMark/>
          </w:tcPr>
          <w:p w14:paraId="40F58D0B" w14:textId="77777777" w:rsidR="004304A2" w:rsidRPr="004304A2" w:rsidRDefault="004304A2" w:rsidP="004304A2">
            <w:pPr>
              <w:spacing w:after="160" w:line="256" w:lineRule="auto"/>
              <w:rPr>
                <w:rFonts w:eastAsia="MS Mincho"/>
              </w:rPr>
            </w:pPr>
            <w:r w:rsidRPr="004304A2">
              <w:rPr>
                <w:rFonts w:eastAsia="MS Mincho"/>
                <w:i/>
              </w:rPr>
              <w:t>df</w:t>
            </w:r>
          </w:p>
        </w:tc>
        <w:tc>
          <w:tcPr>
            <w:tcW w:w="1064" w:type="dxa"/>
            <w:tcBorders>
              <w:top w:val="single" w:sz="4" w:space="0" w:color="auto"/>
              <w:left w:val="nil"/>
              <w:bottom w:val="single" w:sz="4" w:space="0" w:color="auto"/>
              <w:right w:val="nil"/>
            </w:tcBorders>
            <w:hideMark/>
          </w:tcPr>
          <w:p w14:paraId="2730C619" w14:textId="77777777" w:rsidR="004304A2" w:rsidRPr="004304A2" w:rsidRDefault="004304A2" w:rsidP="004304A2">
            <w:pPr>
              <w:spacing w:after="160" w:line="256" w:lineRule="auto"/>
              <w:rPr>
                <w:rFonts w:eastAsia="MS Mincho"/>
              </w:rPr>
            </w:pPr>
            <w:r w:rsidRPr="004304A2">
              <w:rPr>
                <w:rFonts w:eastAsia="MS Mincho"/>
              </w:rPr>
              <w:t>Sig-(2-tailed)</w:t>
            </w:r>
          </w:p>
        </w:tc>
      </w:tr>
      <w:tr w:rsidR="004304A2" w:rsidRPr="004304A2" w14:paraId="46EF342D" w14:textId="77777777" w:rsidTr="00C93D65">
        <w:tc>
          <w:tcPr>
            <w:tcW w:w="1064" w:type="dxa"/>
            <w:tcBorders>
              <w:top w:val="single" w:sz="4" w:space="0" w:color="auto"/>
              <w:left w:val="nil"/>
              <w:bottom w:val="nil"/>
              <w:right w:val="nil"/>
            </w:tcBorders>
            <w:hideMark/>
          </w:tcPr>
          <w:p w14:paraId="67E4E18B" w14:textId="77777777" w:rsidR="004304A2" w:rsidRPr="004304A2" w:rsidRDefault="004304A2" w:rsidP="004304A2">
            <w:pPr>
              <w:spacing w:after="160" w:line="256" w:lineRule="auto"/>
              <w:rPr>
                <w:rFonts w:eastAsia="MS Mincho"/>
              </w:rPr>
            </w:pPr>
            <w:r w:rsidRPr="004304A2">
              <w:rPr>
                <w:rFonts w:eastAsia="MS Mincho"/>
              </w:rPr>
              <w:t>Math</w:t>
            </w:r>
          </w:p>
        </w:tc>
        <w:tc>
          <w:tcPr>
            <w:tcW w:w="1064" w:type="dxa"/>
            <w:tcBorders>
              <w:top w:val="single" w:sz="4" w:space="0" w:color="auto"/>
              <w:left w:val="nil"/>
              <w:bottom w:val="nil"/>
              <w:right w:val="nil"/>
            </w:tcBorders>
            <w:hideMark/>
          </w:tcPr>
          <w:p w14:paraId="52AD7BAB" w14:textId="77777777" w:rsidR="004304A2" w:rsidRPr="004304A2" w:rsidRDefault="004304A2" w:rsidP="004304A2">
            <w:pPr>
              <w:spacing w:after="160" w:line="256" w:lineRule="auto"/>
              <w:rPr>
                <w:rFonts w:eastAsia="MS Mincho"/>
                <w:b/>
              </w:rPr>
            </w:pPr>
            <w:r w:rsidRPr="004304A2">
              <w:rPr>
                <w:rFonts w:eastAsia="MS Mincho"/>
              </w:rPr>
              <w:t>55</w:t>
            </w:r>
          </w:p>
        </w:tc>
        <w:tc>
          <w:tcPr>
            <w:tcW w:w="1064" w:type="dxa"/>
            <w:tcBorders>
              <w:top w:val="single" w:sz="4" w:space="0" w:color="auto"/>
              <w:left w:val="nil"/>
              <w:bottom w:val="nil"/>
              <w:right w:val="nil"/>
            </w:tcBorders>
            <w:hideMark/>
          </w:tcPr>
          <w:p w14:paraId="646E37B8" w14:textId="77777777" w:rsidR="004304A2" w:rsidRPr="004304A2" w:rsidRDefault="004304A2" w:rsidP="004304A2">
            <w:pPr>
              <w:spacing w:after="160" w:line="256" w:lineRule="auto"/>
              <w:rPr>
                <w:rFonts w:eastAsia="MS Mincho"/>
              </w:rPr>
            </w:pPr>
            <w:r w:rsidRPr="004304A2">
              <w:rPr>
                <w:rFonts w:eastAsia="MS Mincho"/>
              </w:rPr>
              <w:t>154.890</w:t>
            </w:r>
          </w:p>
        </w:tc>
        <w:tc>
          <w:tcPr>
            <w:tcW w:w="1064" w:type="dxa"/>
            <w:tcBorders>
              <w:top w:val="single" w:sz="4" w:space="0" w:color="auto"/>
              <w:left w:val="nil"/>
              <w:bottom w:val="nil"/>
              <w:right w:val="nil"/>
            </w:tcBorders>
            <w:hideMark/>
          </w:tcPr>
          <w:p w14:paraId="735C7D8F" w14:textId="77777777" w:rsidR="004304A2" w:rsidRPr="004304A2" w:rsidRDefault="004304A2" w:rsidP="004304A2">
            <w:pPr>
              <w:spacing w:after="160" w:line="256" w:lineRule="auto"/>
              <w:rPr>
                <w:rFonts w:eastAsia="MS Mincho"/>
              </w:rPr>
            </w:pPr>
            <w:r w:rsidRPr="004304A2">
              <w:rPr>
                <w:rFonts w:eastAsia="MS Mincho"/>
              </w:rPr>
              <w:t>168.730</w:t>
            </w:r>
          </w:p>
        </w:tc>
        <w:tc>
          <w:tcPr>
            <w:tcW w:w="1064" w:type="dxa"/>
            <w:tcBorders>
              <w:top w:val="single" w:sz="4" w:space="0" w:color="auto"/>
              <w:left w:val="nil"/>
              <w:bottom w:val="nil"/>
              <w:right w:val="nil"/>
            </w:tcBorders>
            <w:hideMark/>
          </w:tcPr>
          <w:p w14:paraId="3E49D07C" w14:textId="77777777" w:rsidR="004304A2" w:rsidRPr="004304A2" w:rsidRDefault="004304A2" w:rsidP="004304A2">
            <w:pPr>
              <w:spacing w:after="160" w:line="256" w:lineRule="auto"/>
              <w:rPr>
                <w:rFonts w:eastAsia="MS Mincho"/>
              </w:rPr>
            </w:pPr>
            <w:r w:rsidRPr="004304A2">
              <w:rPr>
                <w:rFonts w:eastAsia="MS Mincho"/>
              </w:rPr>
              <w:t>13.836</w:t>
            </w:r>
          </w:p>
        </w:tc>
        <w:tc>
          <w:tcPr>
            <w:tcW w:w="1064" w:type="dxa"/>
            <w:tcBorders>
              <w:top w:val="single" w:sz="4" w:space="0" w:color="auto"/>
              <w:left w:val="nil"/>
              <w:bottom w:val="nil"/>
              <w:right w:val="nil"/>
            </w:tcBorders>
            <w:hideMark/>
          </w:tcPr>
          <w:p w14:paraId="30CFF080" w14:textId="77777777" w:rsidR="004304A2" w:rsidRPr="004304A2" w:rsidRDefault="004304A2" w:rsidP="004304A2">
            <w:pPr>
              <w:spacing w:after="160" w:line="256" w:lineRule="auto"/>
              <w:rPr>
                <w:rFonts w:eastAsia="MS Mincho"/>
              </w:rPr>
            </w:pPr>
            <w:r w:rsidRPr="004304A2">
              <w:rPr>
                <w:rFonts w:eastAsia="MS Mincho"/>
              </w:rPr>
              <w:t>7.110</w:t>
            </w:r>
          </w:p>
        </w:tc>
        <w:tc>
          <w:tcPr>
            <w:tcW w:w="1064" w:type="dxa"/>
            <w:tcBorders>
              <w:top w:val="single" w:sz="4" w:space="0" w:color="auto"/>
              <w:left w:val="nil"/>
              <w:bottom w:val="nil"/>
              <w:right w:val="nil"/>
            </w:tcBorders>
            <w:hideMark/>
          </w:tcPr>
          <w:p w14:paraId="344A34F8" w14:textId="77777777" w:rsidR="004304A2" w:rsidRPr="004304A2" w:rsidRDefault="004304A2" w:rsidP="004304A2">
            <w:pPr>
              <w:spacing w:after="160" w:line="256" w:lineRule="auto"/>
              <w:rPr>
                <w:rFonts w:eastAsia="MS Mincho"/>
              </w:rPr>
            </w:pPr>
            <w:r w:rsidRPr="004304A2">
              <w:rPr>
                <w:rFonts w:eastAsia="MS Mincho"/>
              </w:rPr>
              <w:t>14.433</w:t>
            </w:r>
          </w:p>
        </w:tc>
        <w:tc>
          <w:tcPr>
            <w:tcW w:w="1064" w:type="dxa"/>
            <w:tcBorders>
              <w:top w:val="single" w:sz="4" w:space="0" w:color="auto"/>
              <w:left w:val="nil"/>
              <w:bottom w:val="nil"/>
              <w:right w:val="nil"/>
            </w:tcBorders>
            <w:hideMark/>
          </w:tcPr>
          <w:p w14:paraId="1DDED919" w14:textId="77777777" w:rsidR="004304A2" w:rsidRPr="004304A2" w:rsidRDefault="004304A2" w:rsidP="004304A2">
            <w:pPr>
              <w:spacing w:after="160" w:line="256" w:lineRule="auto"/>
              <w:rPr>
                <w:rFonts w:eastAsia="MS Mincho"/>
              </w:rPr>
            </w:pPr>
            <w:r w:rsidRPr="004304A2">
              <w:rPr>
                <w:rFonts w:eastAsia="MS Mincho"/>
              </w:rPr>
              <w:t>54</w:t>
            </w:r>
          </w:p>
        </w:tc>
        <w:tc>
          <w:tcPr>
            <w:tcW w:w="1064" w:type="dxa"/>
            <w:tcBorders>
              <w:top w:val="single" w:sz="4" w:space="0" w:color="auto"/>
              <w:left w:val="nil"/>
              <w:bottom w:val="nil"/>
              <w:right w:val="nil"/>
            </w:tcBorders>
            <w:hideMark/>
          </w:tcPr>
          <w:p w14:paraId="093B671B" w14:textId="77777777" w:rsidR="004304A2" w:rsidRPr="004304A2" w:rsidRDefault="004304A2" w:rsidP="004304A2">
            <w:pPr>
              <w:spacing w:after="160" w:line="256" w:lineRule="auto"/>
              <w:rPr>
                <w:rFonts w:eastAsia="MS Mincho"/>
              </w:rPr>
            </w:pPr>
            <w:r w:rsidRPr="004304A2">
              <w:rPr>
                <w:rFonts w:eastAsia="MS Mincho"/>
              </w:rPr>
              <w:t>.000</w:t>
            </w:r>
          </w:p>
        </w:tc>
      </w:tr>
      <w:tr w:rsidR="004304A2" w:rsidRPr="004304A2" w14:paraId="07F29855" w14:textId="77777777" w:rsidTr="004304A2">
        <w:tc>
          <w:tcPr>
            <w:tcW w:w="1064" w:type="dxa"/>
            <w:tcBorders>
              <w:top w:val="nil"/>
              <w:left w:val="nil"/>
              <w:bottom w:val="single" w:sz="4" w:space="0" w:color="auto"/>
              <w:right w:val="nil"/>
            </w:tcBorders>
            <w:hideMark/>
          </w:tcPr>
          <w:p w14:paraId="61B1731E" w14:textId="77777777" w:rsidR="004304A2" w:rsidRPr="004304A2" w:rsidRDefault="004304A2" w:rsidP="004304A2">
            <w:pPr>
              <w:spacing w:after="160" w:line="256" w:lineRule="auto"/>
              <w:rPr>
                <w:rFonts w:eastAsia="MS Mincho"/>
              </w:rPr>
            </w:pPr>
            <w:r w:rsidRPr="004304A2">
              <w:rPr>
                <w:rFonts w:eastAsia="MS Mincho"/>
              </w:rPr>
              <w:t>Reading</w:t>
            </w:r>
          </w:p>
        </w:tc>
        <w:tc>
          <w:tcPr>
            <w:tcW w:w="1064" w:type="dxa"/>
            <w:tcBorders>
              <w:top w:val="nil"/>
              <w:left w:val="nil"/>
              <w:bottom w:val="single" w:sz="4" w:space="0" w:color="auto"/>
              <w:right w:val="nil"/>
            </w:tcBorders>
            <w:hideMark/>
          </w:tcPr>
          <w:p w14:paraId="6F9A3EC1" w14:textId="77777777" w:rsidR="004304A2" w:rsidRPr="004304A2" w:rsidRDefault="004304A2" w:rsidP="004304A2">
            <w:pPr>
              <w:spacing w:after="160" w:line="256" w:lineRule="auto"/>
              <w:rPr>
                <w:rFonts w:eastAsia="MS Mincho"/>
              </w:rPr>
            </w:pPr>
            <w:r w:rsidRPr="004304A2">
              <w:rPr>
                <w:rFonts w:eastAsia="MS Mincho"/>
              </w:rPr>
              <w:t>55</w:t>
            </w:r>
          </w:p>
        </w:tc>
        <w:tc>
          <w:tcPr>
            <w:tcW w:w="1064" w:type="dxa"/>
            <w:tcBorders>
              <w:top w:val="nil"/>
              <w:left w:val="nil"/>
              <w:bottom w:val="single" w:sz="4" w:space="0" w:color="auto"/>
              <w:right w:val="nil"/>
            </w:tcBorders>
            <w:hideMark/>
          </w:tcPr>
          <w:p w14:paraId="0B6671CB" w14:textId="77777777" w:rsidR="004304A2" w:rsidRPr="004304A2" w:rsidRDefault="004304A2" w:rsidP="004304A2">
            <w:pPr>
              <w:spacing w:after="160" w:line="256" w:lineRule="auto"/>
              <w:rPr>
                <w:rFonts w:eastAsia="MS Mincho"/>
              </w:rPr>
            </w:pPr>
            <w:r w:rsidRPr="004304A2">
              <w:rPr>
                <w:rFonts w:eastAsia="MS Mincho"/>
              </w:rPr>
              <w:t>155.640</w:t>
            </w:r>
          </w:p>
        </w:tc>
        <w:tc>
          <w:tcPr>
            <w:tcW w:w="1064" w:type="dxa"/>
            <w:tcBorders>
              <w:top w:val="nil"/>
              <w:left w:val="nil"/>
              <w:bottom w:val="single" w:sz="4" w:space="0" w:color="auto"/>
              <w:right w:val="nil"/>
            </w:tcBorders>
            <w:hideMark/>
          </w:tcPr>
          <w:p w14:paraId="74284000" w14:textId="77777777" w:rsidR="004304A2" w:rsidRPr="004304A2" w:rsidRDefault="004304A2" w:rsidP="004304A2">
            <w:pPr>
              <w:spacing w:after="160" w:line="256" w:lineRule="auto"/>
              <w:rPr>
                <w:rFonts w:eastAsia="MS Mincho"/>
              </w:rPr>
            </w:pPr>
            <w:r w:rsidRPr="004304A2">
              <w:rPr>
                <w:rFonts w:eastAsia="MS Mincho"/>
              </w:rPr>
              <w:t>165.220</w:t>
            </w:r>
          </w:p>
        </w:tc>
        <w:tc>
          <w:tcPr>
            <w:tcW w:w="1064" w:type="dxa"/>
            <w:tcBorders>
              <w:top w:val="nil"/>
              <w:left w:val="nil"/>
              <w:bottom w:val="single" w:sz="4" w:space="0" w:color="auto"/>
              <w:right w:val="nil"/>
            </w:tcBorders>
            <w:hideMark/>
          </w:tcPr>
          <w:p w14:paraId="472C363D" w14:textId="77777777" w:rsidR="004304A2" w:rsidRPr="004304A2" w:rsidRDefault="004304A2" w:rsidP="004304A2">
            <w:pPr>
              <w:spacing w:after="160" w:line="256" w:lineRule="auto"/>
              <w:rPr>
                <w:rFonts w:eastAsia="MS Mincho"/>
              </w:rPr>
            </w:pPr>
            <w:r w:rsidRPr="004304A2">
              <w:rPr>
                <w:rFonts w:eastAsia="MS Mincho"/>
              </w:rPr>
              <w:t>9.582</w:t>
            </w:r>
          </w:p>
        </w:tc>
        <w:tc>
          <w:tcPr>
            <w:tcW w:w="1064" w:type="dxa"/>
            <w:tcBorders>
              <w:top w:val="nil"/>
              <w:left w:val="nil"/>
              <w:bottom w:val="single" w:sz="4" w:space="0" w:color="auto"/>
              <w:right w:val="nil"/>
            </w:tcBorders>
            <w:hideMark/>
          </w:tcPr>
          <w:p w14:paraId="06298DEB" w14:textId="77777777" w:rsidR="004304A2" w:rsidRPr="004304A2" w:rsidRDefault="004304A2" w:rsidP="004304A2">
            <w:pPr>
              <w:spacing w:after="160" w:line="256" w:lineRule="auto"/>
              <w:rPr>
                <w:rFonts w:eastAsia="MS Mincho"/>
              </w:rPr>
            </w:pPr>
            <w:r w:rsidRPr="004304A2">
              <w:rPr>
                <w:rFonts w:eastAsia="MS Mincho"/>
              </w:rPr>
              <w:t>6.208</w:t>
            </w:r>
          </w:p>
        </w:tc>
        <w:tc>
          <w:tcPr>
            <w:tcW w:w="1064" w:type="dxa"/>
            <w:tcBorders>
              <w:top w:val="nil"/>
              <w:left w:val="nil"/>
              <w:bottom w:val="single" w:sz="4" w:space="0" w:color="auto"/>
              <w:right w:val="nil"/>
            </w:tcBorders>
            <w:hideMark/>
          </w:tcPr>
          <w:p w14:paraId="033615FD" w14:textId="77777777" w:rsidR="004304A2" w:rsidRPr="004304A2" w:rsidRDefault="004304A2" w:rsidP="004304A2">
            <w:pPr>
              <w:spacing w:after="160" w:line="256" w:lineRule="auto"/>
              <w:rPr>
                <w:rFonts w:eastAsia="MS Mincho"/>
              </w:rPr>
            </w:pPr>
            <w:r w:rsidRPr="004304A2">
              <w:rPr>
                <w:rFonts w:eastAsia="MS Mincho"/>
              </w:rPr>
              <w:t>11.446</w:t>
            </w:r>
          </w:p>
        </w:tc>
        <w:tc>
          <w:tcPr>
            <w:tcW w:w="1064" w:type="dxa"/>
            <w:tcBorders>
              <w:top w:val="nil"/>
              <w:left w:val="nil"/>
              <w:bottom w:val="single" w:sz="4" w:space="0" w:color="auto"/>
              <w:right w:val="nil"/>
            </w:tcBorders>
            <w:hideMark/>
          </w:tcPr>
          <w:p w14:paraId="4CF6456E" w14:textId="77777777" w:rsidR="004304A2" w:rsidRPr="004304A2" w:rsidRDefault="004304A2" w:rsidP="004304A2">
            <w:pPr>
              <w:spacing w:after="160" w:line="256" w:lineRule="auto"/>
              <w:rPr>
                <w:rFonts w:eastAsia="MS Mincho"/>
              </w:rPr>
            </w:pPr>
            <w:r w:rsidRPr="004304A2">
              <w:rPr>
                <w:rFonts w:eastAsia="MS Mincho"/>
              </w:rPr>
              <w:t>54</w:t>
            </w:r>
          </w:p>
        </w:tc>
        <w:tc>
          <w:tcPr>
            <w:tcW w:w="1064" w:type="dxa"/>
            <w:tcBorders>
              <w:top w:val="nil"/>
              <w:left w:val="nil"/>
              <w:bottom w:val="single" w:sz="4" w:space="0" w:color="auto"/>
              <w:right w:val="nil"/>
            </w:tcBorders>
            <w:shd w:val="clear" w:color="auto" w:fill="FFFFFF"/>
            <w:hideMark/>
          </w:tcPr>
          <w:p w14:paraId="1ED2617C" w14:textId="77777777" w:rsidR="004304A2" w:rsidRPr="004304A2" w:rsidRDefault="004304A2" w:rsidP="004304A2">
            <w:pPr>
              <w:spacing w:after="160" w:line="256" w:lineRule="auto"/>
              <w:rPr>
                <w:rFonts w:eastAsia="MS Mincho"/>
              </w:rPr>
            </w:pPr>
            <w:r w:rsidRPr="004304A2">
              <w:rPr>
                <w:rFonts w:eastAsia="MS Mincho"/>
              </w:rPr>
              <w:t>.000</w:t>
            </w:r>
          </w:p>
        </w:tc>
      </w:tr>
    </w:tbl>
    <w:p w14:paraId="00CAB6E5" w14:textId="77777777" w:rsidR="004304A2" w:rsidRPr="004304A2" w:rsidRDefault="004304A2" w:rsidP="004304A2">
      <w:pPr>
        <w:spacing w:after="200" w:line="276" w:lineRule="auto"/>
        <w:rPr>
          <w:rFonts w:ascii="Calibri" w:eastAsia="Calibri" w:hAnsi="Calibri" w:cs="Arial"/>
          <w:b/>
          <w:sz w:val="22"/>
          <w:szCs w:val="22"/>
        </w:rPr>
      </w:pPr>
    </w:p>
    <w:p w14:paraId="7BD723A3" w14:textId="77777777" w:rsidR="004304A2" w:rsidRPr="004304A2" w:rsidRDefault="004304A2" w:rsidP="004304A2">
      <w:pPr>
        <w:spacing w:after="160" w:line="256" w:lineRule="auto"/>
        <w:rPr>
          <w:rFonts w:eastAsia="Calibri"/>
          <w:b/>
        </w:rPr>
      </w:pPr>
      <w:r w:rsidRPr="004304A2">
        <w:rPr>
          <w:rFonts w:eastAsia="Calibri"/>
          <w:b/>
        </w:rPr>
        <w:t>Table 3</w:t>
      </w:r>
    </w:p>
    <w:p w14:paraId="077F2A1E" w14:textId="77777777" w:rsidR="004304A2" w:rsidRPr="004304A2" w:rsidRDefault="004304A2" w:rsidP="004304A2">
      <w:pPr>
        <w:spacing w:line="480" w:lineRule="auto"/>
        <w:rPr>
          <w:rFonts w:eastAsia="Calibri"/>
          <w:i/>
        </w:rPr>
      </w:pPr>
      <w:r w:rsidRPr="004304A2">
        <w:rPr>
          <w:rFonts w:eastAsia="Calibri"/>
          <w:i/>
        </w:rPr>
        <w:t xml:space="preserve">Summary of Paired Samples T-Test for Second-Grade Students in Experimental Group </w:t>
      </w:r>
    </w:p>
    <w:tbl>
      <w:tblPr>
        <w:tblStyle w:val="TableGrid7"/>
        <w:tblW w:w="0" w:type="auto"/>
        <w:tblBorders>
          <w:insideV w:val="none" w:sz="0" w:space="0" w:color="auto"/>
        </w:tblBorders>
        <w:tblLook w:val="04A0" w:firstRow="1" w:lastRow="0" w:firstColumn="1" w:lastColumn="0" w:noHBand="0" w:noVBand="1"/>
      </w:tblPr>
      <w:tblGrid>
        <w:gridCol w:w="1060"/>
        <w:gridCol w:w="1007"/>
        <w:gridCol w:w="1058"/>
        <w:gridCol w:w="1058"/>
        <w:gridCol w:w="1046"/>
        <w:gridCol w:w="1036"/>
        <w:gridCol w:w="1046"/>
        <w:gridCol w:w="1007"/>
        <w:gridCol w:w="1042"/>
      </w:tblGrid>
      <w:tr w:rsidR="004304A2" w:rsidRPr="004304A2" w14:paraId="153605E2" w14:textId="77777777" w:rsidTr="00C93D65">
        <w:tc>
          <w:tcPr>
            <w:tcW w:w="1064" w:type="dxa"/>
            <w:tcBorders>
              <w:top w:val="single" w:sz="4" w:space="0" w:color="auto"/>
              <w:left w:val="nil"/>
              <w:bottom w:val="single" w:sz="4" w:space="0" w:color="auto"/>
              <w:right w:val="nil"/>
            </w:tcBorders>
            <w:hideMark/>
          </w:tcPr>
          <w:p w14:paraId="347F7054" w14:textId="77777777" w:rsidR="004304A2" w:rsidRPr="004304A2" w:rsidRDefault="004304A2" w:rsidP="004304A2">
            <w:pPr>
              <w:spacing w:after="160" w:line="256" w:lineRule="auto"/>
              <w:rPr>
                <w:rFonts w:eastAsia="MS Mincho"/>
              </w:rPr>
            </w:pPr>
            <w:r w:rsidRPr="004304A2">
              <w:rPr>
                <w:rFonts w:eastAsia="MS Mincho"/>
              </w:rPr>
              <w:t>Subject</w:t>
            </w:r>
          </w:p>
        </w:tc>
        <w:tc>
          <w:tcPr>
            <w:tcW w:w="1064" w:type="dxa"/>
            <w:tcBorders>
              <w:top w:val="single" w:sz="4" w:space="0" w:color="auto"/>
              <w:left w:val="nil"/>
              <w:bottom w:val="single" w:sz="4" w:space="0" w:color="auto"/>
              <w:right w:val="nil"/>
            </w:tcBorders>
            <w:hideMark/>
          </w:tcPr>
          <w:p w14:paraId="18051F88" w14:textId="77777777" w:rsidR="004304A2" w:rsidRPr="004304A2" w:rsidRDefault="004304A2" w:rsidP="004304A2">
            <w:pPr>
              <w:spacing w:after="160" w:line="256" w:lineRule="auto"/>
              <w:rPr>
                <w:rFonts w:eastAsia="MS Mincho"/>
              </w:rPr>
            </w:pPr>
            <w:r w:rsidRPr="004304A2">
              <w:rPr>
                <w:rFonts w:eastAsia="MS Mincho"/>
              </w:rPr>
              <w:t>N</w:t>
            </w:r>
          </w:p>
        </w:tc>
        <w:tc>
          <w:tcPr>
            <w:tcW w:w="1064" w:type="dxa"/>
            <w:tcBorders>
              <w:top w:val="single" w:sz="4" w:space="0" w:color="auto"/>
              <w:left w:val="nil"/>
              <w:bottom w:val="single" w:sz="4" w:space="0" w:color="auto"/>
              <w:right w:val="nil"/>
            </w:tcBorders>
            <w:hideMark/>
          </w:tcPr>
          <w:p w14:paraId="17977628" w14:textId="77777777" w:rsidR="004304A2" w:rsidRPr="004304A2" w:rsidRDefault="004304A2" w:rsidP="004304A2">
            <w:pPr>
              <w:spacing w:after="160" w:line="256" w:lineRule="auto"/>
              <w:rPr>
                <w:rFonts w:eastAsia="MS Mincho"/>
              </w:rPr>
            </w:pPr>
            <w:r w:rsidRPr="004304A2">
              <w:rPr>
                <w:rFonts w:eastAsia="MS Mincho"/>
              </w:rPr>
              <w:t>Fall Mean</w:t>
            </w:r>
          </w:p>
        </w:tc>
        <w:tc>
          <w:tcPr>
            <w:tcW w:w="1064" w:type="dxa"/>
            <w:tcBorders>
              <w:top w:val="single" w:sz="4" w:space="0" w:color="auto"/>
              <w:left w:val="nil"/>
              <w:bottom w:val="single" w:sz="4" w:space="0" w:color="auto"/>
              <w:right w:val="nil"/>
            </w:tcBorders>
            <w:hideMark/>
          </w:tcPr>
          <w:p w14:paraId="289C9687" w14:textId="77777777" w:rsidR="004304A2" w:rsidRPr="004304A2" w:rsidRDefault="004304A2" w:rsidP="004304A2">
            <w:pPr>
              <w:spacing w:after="160" w:line="256" w:lineRule="auto"/>
              <w:rPr>
                <w:rFonts w:eastAsia="MS Mincho"/>
              </w:rPr>
            </w:pPr>
            <w:r w:rsidRPr="004304A2">
              <w:rPr>
                <w:rFonts w:eastAsia="MS Mincho"/>
              </w:rPr>
              <w:t xml:space="preserve">Winter Mean </w:t>
            </w:r>
          </w:p>
        </w:tc>
        <w:tc>
          <w:tcPr>
            <w:tcW w:w="1064" w:type="dxa"/>
            <w:tcBorders>
              <w:top w:val="single" w:sz="4" w:space="0" w:color="auto"/>
              <w:left w:val="nil"/>
              <w:bottom w:val="single" w:sz="4" w:space="0" w:color="auto"/>
              <w:right w:val="nil"/>
            </w:tcBorders>
            <w:hideMark/>
          </w:tcPr>
          <w:p w14:paraId="1A478326" w14:textId="77777777" w:rsidR="004304A2" w:rsidRPr="004304A2" w:rsidRDefault="004304A2" w:rsidP="004304A2">
            <w:pPr>
              <w:spacing w:after="160" w:line="256" w:lineRule="auto"/>
              <w:rPr>
                <w:rFonts w:eastAsia="MS Mincho"/>
              </w:rPr>
            </w:pPr>
            <w:r w:rsidRPr="004304A2">
              <w:rPr>
                <w:rFonts w:eastAsia="MS Mincho"/>
              </w:rPr>
              <w:t>Mean Diff</w:t>
            </w:r>
          </w:p>
        </w:tc>
        <w:tc>
          <w:tcPr>
            <w:tcW w:w="1064" w:type="dxa"/>
            <w:tcBorders>
              <w:top w:val="single" w:sz="4" w:space="0" w:color="auto"/>
              <w:left w:val="nil"/>
              <w:bottom w:val="single" w:sz="4" w:space="0" w:color="auto"/>
              <w:right w:val="nil"/>
            </w:tcBorders>
            <w:hideMark/>
          </w:tcPr>
          <w:p w14:paraId="447F14EF" w14:textId="77777777" w:rsidR="004304A2" w:rsidRPr="004304A2" w:rsidRDefault="004304A2" w:rsidP="004304A2">
            <w:pPr>
              <w:spacing w:after="160" w:line="256" w:lineRule="auto"/>
              <w:rPr>
                <w:rFonts w:eastAsia="MS Mincho"/>
              </w:rPr>
            </w:pPr>
            <w:r w:rsidRPr="004304A2">
              <w:rPr>
                <w:rFonts w:eastAsia="MS Mincho"/>
              </w:rPr>
              <w:t>SD Mean Diff</w:t>
            </w:r>
          </w:p>
        </w:tc>
        <w:tc>
          <w:tcPr>
            <w:tcW w:w="1064" w:type="dxa"/>
            <w:tcBorders>
              <w:top w:val="single" w:sz="4" w:space="0" w:color="auto"/>
              <w:left w:val="nil"/>
              <w:bottom w:val="single" w:sz="4" w:space="0" w:color="auto"/>
              <w:right w:val="nil"/>
            </w:tcBorders>
            <w:hideMark/>
          </w:tcPr>
          <w:p w14:paraId="5A52DD47" w14:textId="77777777" w:rsidR="004304A2" w:rsidRPr="004304A2" w:rsidRDefault="004304A2" w:rsidP="004304A2">
            <w:pPr>
              <w:spacing w:after="160" w:line="256" w:lineRule="auto"/>
              <w:rPr>
                <w:rFonts w:eastAsia="MS Mincho"/>
              </w:rPr>
            </w:pPr>
            <w:r w:rsidRPr="004304A2">
              <w:rPr>
                <w:rFonts w:eastAsia="MS Mincho"/>
              </w:rPr>
              <w:t>t-value</w:t>
            </w:r>
          </w:p>
        </w:tc>
        <w:tc>
          <w:tcPr>
            <w:tcW w:w="1064" w:type="dxa"/>
            <w:tcBorders>
              <w:top w:val="single" w:sz="4" w:space="0" w:color="auto"/>
              <w:left w:val="nil"/>
              <w:bottom w:val="single" w:sz="4" w:space="0" w:color="auto"/>
              <w:right w:val="nil"/>
            </w:tcBorders>
            <w:hideMark/>
          </w:tcPr>
          <w:p w14:paraId="37FFDF6F" w14:textId="77777777" w:rsidR="004304A2" w:rsidRPr="004304A2" w:rsidRDefault="004304A2" w:rsidP="004304A2">
            <w:pPr>
              <w:spacing w:after="160" w:line="256" w:lineRule="auto"/>
              <w:rPr>
                <w:rFonts w:eastAsia="MS Mincho"/>
              </w:rPr>
            </w:pPr>
            <w:r w:rsidRPr="004304A2">
              <w:rPr>
                <w:rFonts w:eastAsia="MS Mincho"/>
                <w:i/>
              </w:rPr>
              <w:t>df</w:t>
            </w:r>
          </w:p>
        </w:tc>
        <w:tc>
          <w:tcPr>
            <w:tcW w:w="1064" w:type="dxa"/>
            <w:tcBorders>
              <w:top w:val="single" w:sz="4" w:space="0" w:color="auto"/>
              <w:left w:val="nil"/>
              <w:bottom w:val="single" w:sz="4" w:space="0" w:color="auto"/>
              <w:right w:val="nil"/>
            </w:tcBorders>
            <w:hideMark/>
          </w:tcPr>
          <w:p w14:paraId="6E2B7BB7" w14:textId="77777777" w:rsidR="004304A2" w:rsidRPr="004304A2" w:rsidRDefault="004304A2" w:rsidP="004304A2">
            <w:pPr>
              <w:spacing w:after="160" w:line="256" w:lineRule="auto"/>
              <w:rPr>
                <w:rFonts w:eastAsia="MS Mincho"/>
              </w:rPr>
            </w:pPr>
            <w:r w:rsidRPr="004304A2">
              <w:rPr>
                <w:rFonts w:eastAsia="MS Mincho"/>
              </w:rPr>
              <w:t>Sig-(2-tailed)</w:t>
            </w:r>
          </w:p>
        </w:tc>
      </w:tr>
      <w:tr w:rsidR="004304A2" w:rsidRPr="004304A2" w14:paraId="65A595D3" w14:textId="77777777" w:rsidTr="00C93D65">
        <w:tc>
          <w:tcPr>
            <w:tcW w:w="1064" w:type="dxa"/>
            <w:tcBorders>
              <w:top w:val="single" w:sz="4" w:space="0" w:color="auto"/>
              <w:left w:val="nil"/>
              <w:bottom w:val="nil"/>
              <w:right w:val="nil"/>
            </w:tcBorders>
            <w:hideMark/>
          </w:tcPr>
          <w:p w14:paraId="548C5FE1" w14:textId="77777777" w:rsidR="004304A2" w:rsidRPr="004304A2" w:rsidRDefault="004304A2" w:rsidP="004304A2">
            <w:pPr>
              <w:spacing w:after="160" w:line="256" w:lineRule="auto"/>
              <w:rPr>
                <w:rFonts w:eastAsia="MS Mincho"/>
              </w:rPr>
            </w:pPr>
            <w:r w:rsidRPr="004304A2">
              <w:rPr>
                <w:rFonts w:eastAsia="MS Mincho"/>
              </w:rPr>
              <w:t>Math</w:t>
            </w:r>
          </w:p>
        </w:tc>
        <w:tc>
          <w:tcPr>
            <w:tcW w:w="1064" w:type="dxa"/>
            <w:tcBorders>
              <w:top w:val="single" w:sz="4" w:space="0" w:color="auto"/>
              <w:left w:val="nil"/>
              <w:bottom w:val="nil"/>
              <w:right w:val="nil"/>
            </w:tcBorders>
            <w:hideMark/>
          </w:tcPr>
          <w:p w14:paraId="28471E18" w14:textId="77777777" w:rsidR="004304A2" w:rsidRPr="004304A2" w:rsidRDefault="004304A2" w:rsidP="004304A2">
            <w:pPr>
              <w:spacing w:after="160" w:line="256" w:lineRule="auto"/>
              <w:rPr>
                <w:rFonts w:eastAsia="MS Mincho"/>
                <w:b/>
              </w:rPr>
            </w:pPr>
            <w:r w:rsidRPr="004304A2">
              <w:rPr>
                <w:rFonts w:eastAsia="MS Mincho"/>
              </w:rPr>
              <w:t>69</w:t>
            </w:r>
          </w:p>
        </w:tc>
        <w:tc>
          <w:tcPr>
            <w:tcW w:w="1064" w:type="dxa"/>
            <w:tcBorders>
              <w:top w:val="single" w:sz="4" w:space="0" w:color="auto"/>
              <w:left w:val="nil"/>
              <w:bottom w:val="nil"/>
              <w:right w:val="nil"/>
            </w:tcBorders>
            <w:hideMark/>
          </w:tcPr>
          <w:p w14:paraId="4B5A5303" w14:textId="77777777" w:rsidR="004304A2" w:rsidRPr="004304A2" w:rsidRDefault="004304A2" w:rsidP="004304A2">
            <w:pPr>
              <w:spacing w:after="160" w:line="256" w:lineRule="auto"/>
              <w:rPr>
                <w:rFonts w:eastAsia="MS Mincho"/>
              </w:rPr>
            </w:pPr>
            <w:r w:rsidRPr="004304A2">
              <w:rPr>
                <w:rFonts w:eastAsia="MS Mincho"/>
              </w:rPr>
              <w:t>173.435</w:t>
            </w:r>
          </w:p>
        </w:tc>
        <w:tc>
          <w:tcPr>
            <w:tcW w:w="1064" w:type="dxa"/>
            <w:tcBorders>
              <w:top w:val="single" w:sz="4" w:space="0" w:color="auto"/>
              <w:left w:val="nil"/>
              <w:bottom w:val="nil"/>
              <w:right w:val="nil"/>
            </w:tcBorders>
            <w:hideMark/>
          </w:tcPr>
          <w:p w14:paraId="632F8130" w14:textId="77777777" w:rsidR="004304A2" w:rsidRPr="004304A2" w:rsidRDefault="004304A2" w:rsidP="004304A2">
            <w:pPr>
              <w:spacing w:after="160" w:line="256" w:lineRule="auto"/>
              <w:rPr>
                <w:rFonts w:eastAsia="MS Mincho"/>
              </w:rPr>
            </w:pPr>
            <w:r w:rsidRPr="004304A2">
              <w:rPr>
                <w:rFonts w:eastAsia="MS Mincho"/>
              </w:rPr>
              <w:t>184.116</w:t>
            </w:r>
          </w:p>
        </w:tc>
        <w:tc>
          <w:tcPr>
            <w:tcW w:w="1064" w:type="dxa"/>
            <w:tcBorders>
              <w:top w:val="single" w:sz="4" w:space="0" w:color="auto"/>
              <w:left w:val="nil"/>
              <w:bottom w:val="nil"/>
              <w:right w:val="nil"/>
            </w:tcBorders>
            <w:hideMark/>
          </w:tcPr>
          <w:p w14:paraId="307C0C3E" w14:textId="77777777" w:rsidR="004304A2" w:rsidRPr="004304A2" w:rsidRDefault="004304A2" w:rsidP="004304A2">
            <w:pPr>
              <w:spacing w:after="160" w:line="256" w:lineRule="auto"/>
              <w:rPr>
                <w:rFonts w:eastAsia="MS Mincho"/>
              </w:rPr>
            </w:pPr>
            <w:r w:rsidRPr="004304A2">
              <w:rPr>
                <w:rFonts w:eastAsia="MS Mincho"/>
              </w:rPr>
              <w:t>10.681</w:t>
            </w:r>
          </w:p>
        </w:tc>
        <w:tc>
          <w:tcPr>
            <w:tcW w:w="1064" w:type="dxa"/>
            <w:tcBorders>
              <w:top w:val="single" w:sz="4" w:space="0" w:color="auto"/>
              <w:left w:val="nil"/>
              <w:bottom w:val="nil"/>
              <w:right w:val="nil"/>
            </w:tcBorders>
            <w:hideMark/>
          </w:tcPr>
          <w:p w14:paraId="21EE7F64" w14:textId="77777777" w:rsidR="004304A2" w:rsidRPr="004304A2" w:rsidRDefault="004304A2" w:rsidP="004304A2">
            <w:pPr>
              <w:spacing w:after="160" w:line="256" w:lineRule="auto"/>
              <w:rPr>
                <w:rFonts w:eastAsia="MS Mincho"/>
              </w:rPr>
            </w:pPr>
            <w:r w:rsidRPr="004304A2">
              <w:rPr>
                <w:rFonts w:eastAsia="MS Mincho"/>
              </w:rPr>
              <w:t>6.223</w:t>
            </w:r>
          </w:p>
        </w:tc>
        <w:tc>
          <w:tcPr>
            <w:tcW w:w="1064" w:type="dxa"/>
            <w:tcBorders>
              <w:top w:val="single" w:sz="4" w:space="0" w:color="auto"/>
              <w:left w:val="nil"/>
              <w:bottom w:val="nil"/>
              <w:right w:val="nil"/>
            </w:tcBorders>
            <w:hideMark/>
          </w:tcPr>
          <w:p w14:paraId="5599E323" w14:textId="77777777" w:rsidR="004304A2" w:rsidRPr="004304A2" w:rsidRDefault="004304A2" w:rsidP="004304A2">
            <w:pPr>
              <w:spacing w:after="160" w:line="256" w:lineRule="auto"/>
              <w:rPr>
                <w:rFonts w:eastAsia="MS Mincho"/>
              </w:rPr>
            </w:pPr>
            <w:r w:rsidRPr="004304A2">
              <w:rPr>
                <w:rFonts w:eastAsia="MS Mincho"/>
              </w:rPr>
              <w:t>14.258</w:t>
            </w:r>
          </w:p>
        </w:tc>
        <w:tc>
          <w:tcPr>
            <w:tcW w:w="1064" w:type="dxa"/>
            <w:tcBorders>
              <w:top w:val="single" w:sz="4" w:space="0" w:color="auto"/>
              <w:left w:val="nil"/>
              <w:bottom w:val="nil"/>
              <w:right w:val="nil"/>
            </w:tcBorders>
            <w:hideMark/>
          </w:tcPr>
          <w:p w14:paraId="0BAB9E51" w14:textId="77777777" w:rsidR="004304A2" w:rsidRPr="004304A2" w:rsidRDefault="004304A2" w:rsidP="004304A2">
            <w:pPr>
              <w:spacing w:after="160" w:line="256" w:lineRule="auto"/>
              <w:rPr>
                <w:rFonts w:eastAsia="MS Mincho"/>
              </w:rPr>
            </w:pPr>
            <w:r w:rsidRPr="004304A2">
              <w:rPr>
                <w:rFonts w:eastAsia="MS Mincho"/>
              </w:rPr>
              <w:t>68</w:t>
            </w:r>
          </w:p>
        </w:tc>
        <w:tc>
          <w:tcPr>
            <w:tcW w:w="1064" w:type="dxa"/>
            <w:tcBorders>
              <w:top w:val="single" w:sz="4" w:space="0" w:color="auto"/>
              <w:left w:val="nil"/>
              <w:bottom w:val="nil"/>
              <w:right w:val="nil"/>
            </w:tcBorders>
            <w:hideMark/>
          </w:tcPr>
          <w:p w14:paraId="51E552C8" w14:textId="77777777" w:rsidR="004304A2" w:rsidRPr="004304A2" w:rsidRDefault="004304A2" w:rsidP="004304A2">
            <w:pPr>
              <w:spacing w:after="160" w:line="256" w:lineRule="auto"/>
              <w:rPr>
                <w:rFonts w:eastAsia="MS Mincho"/>
              </w:rPr>
            </w:pPr>
            <w:r w:rsidRPr="004304A2">
              <w:rPr>
                <w:rFonts w:eastAsia="MS Mincho"/>
              </w:rPr>
              <w:t>.000</w:t>
            </w:r>
          </w:p>
        </w:tc>
      </w:tr>
      <w:tr w:rsidR="004304A2" w:rsidRPr="004304A2" w14:paraId="65779C44" w14:textId="77777777" w:rsidTr="004304A2">
        <w:tc>
          <w:tcPr>
            <w:tcW w:w="1064" w:type="dxa"/>
            <w:tcBorders>
              <w:top w:val="nil"/>
              <w:left w:val="nil"/>
              <w:bottom w:val="single" w:sz="4" w:space="0" w:color="auto"/>
              <w:right w:val="nil"/>
            </w:tcBorders>
            <w:hideMark/>
          </w:tcPr>
          <w:p w14:paraId="1C71B152" w14:textId="77777777" w:rsidR="004304A2" w:rsidRPr="004304A2" w:rsidRDefault="004304A2" w:rsidP="004304A2">
            <w:pPr>
              <w:spacing w:after="160" w:line="256" w:lineRule="auto"/>
              <w:rPr>
                <w:rFonts w:eastAsia="MS Mincho"/>
              </w:rPr>
            </w:pPr>
            <w:r w:rsidRPr="004304A2">
              <w:rPr>
                <w:rFonts w:eastAsia="MS Mincho"/>
              </w:rPr>
              <w:t>Reading</w:t>
            </w:r>
          </w:p>
        </w:tc>
        <w:tc>
          <w:tcPr>
            <w:tcW w:w="1064" w:type="dxa"/>
            <w:tcBorders>
              <w:top w:val="nil"/>
              <w:left w:val="nil"/>
              <w:bottom w:val="single" w:sz="4" w:space="0" w:color="auto"/>
              <w:right w:val="nil"/>
            </w:tcBorders>
            <w:hideMark/>
          </w:tcPr>
          <w:p w14:paraId="50AC5F52" w14:textId="77777777" w:rsidR="004304A2" w:rsidRPr="004304A2" w:rsidRDefault="004304A2" w:rsidP="004304A2">
            <w:pPr>
              <w:spacing w:after="160" w:line="256" w:lineRule="auto"/>
              <w:rPr>
                <w:rFonts w:eastAsia="MS Mincho"/>
              </w:rPr>
            </w:pPr>
            <w:r w:rsidRPr="004304A2">
              <w:rPr>
                <w:rFonts w:eastAsia="MS Mincho"/>
              </w:rPr>
              <w:t>69</w:t>
            </w:r>
          </w:p>
        </w:tc>
        <w:tc>
          <w:tcPr>
            <w:tcW w:w="1064" w:type="dxa"/>
            <w:tcBorders>
              <w:top w:val="nil"/>
              <w:left w:val="nil"/>
              <w:bottom w:val="single" w:sz="4" w:space="0" w:color="auto"/>
              <w:right w:val="nil"/>
            </w:tcBorders>
            <w:hideMark/>
          </w:tcPr>
          <w:p w14:paraId="7FD1A008" w14:textId="77777777" w:rsidR="004304A2" w:rsidRPr="004304A2" w:rsidRDefault="004304A2" w:rsidP="004304A2">
            <w:pPr>
              <w:spacing w:after="160" w:line="256" w:lineRule="auto"/>
              <w:rPr>
                <w:rFonts w:eastAsia="MS Mincho"/>
              </w:rPr>
            </w:pPr>
            <w:r w:rsidRPr="004304A2">
              <w:rPr>
                <w:rFonts w:eastAsia="MS Mincho"/>
              </w:rPr>
              <w:t>170.797</w:t>
            </w:r>
          </w:p>
        </w:tc>
        <w:tc>
          <w:tcPr>
            <w:tcW w:w="1064" w:type="dxa"/>
            <w:tcBorders>
              <w:top w:val="nil"/>
              <w:left w:val="nil"/>
              <w:bottom w:val="single" w:sz="4" w:space="0" w:color="auto"/>
              <w:right w:val="nil"/>
            </w:tcBorders>
            <w:hideMark/>
          </w:tcPr>
          <w:p w14:paraId="27F54B8B" w14:textId="77777777" w:rsidR="004304A2" w:rsidRPr="004304A2" w:rsidRDefault="004304A2" w:rsidP="004304A2">
            <w:pPr>
              <w:spacing w:after="160" w:line="256" w:lineRule="auto"/>
              <w:rPr>
                <w:rFonts w:eastAsia="MS Mincho"/>
              </w:rPr>
            </w:pPr>
            <w:r w:rsidRPr="004304A2">
              <w:rPr>
                <w:rFonts w:eastAsia="MS Mincho"/>
              </w:rPr>
              <w:t>181.145</w:t>
            </w:r>
          </w:p>
        </w:tc>
        <w:tc>
          <w:tcPr>
            <w:tcW w:w="1064" w:type="dxa"/>
            <w:tcBorders>
              <w:top w:val="nil"/>
              <w:left w:val="nil"/>
              <w:bottom w:val="single" w:sz="4" w:space="0" w:color="auto"/>
              <w:right w:val="nil"/>
            </w:tcBorders>
            <w:hideMark/>
          </w:tcPr>
          <w:p w14:paraId="085FD80F" w14:textId="77777777" w:rsidR="004304A2" w:rsidRPr="004304A2" w:rsidRDefault="004304A2" w:rsidP="004304A2">
            <w:pPr>
              <w:spacing w:after="160" w:line="256" w:lineRule="auto"/>
              <w:rPr>
                <w:rFonts w:eastAsia="MS Mincho"/>
              </w:rPr>
            </w:pPr>
            <w:r w:rsidRPr="004304A2">
              <w:rPr>
                <w:rFonts w:eastAsia="MS Mincho"/>
              </w:rPr>
              <w:t>10.348</w:t>
            </w:r>
          </w:p>
        </w:tc>
        <w:tc>
          <w:tcPr>
            <w:tcW w:w="1064" w:type="dxa"/>
            <w:tcBorders>
              <w:top w:val="nil"/>
              <w:left w:val="nil"/>
              <w:bottom w:val="single" w:sz="4" w:space="0" w:color="auto"/>
              <w:right w:val="nil"/>
            </w:tcBorders>
            <w:hideMark/>
          </w:tcPr>
          <w:p w14:paraId="5FF072A4" w14:textId="77777777" w:rsidR="004304A2" w:rsidRPr="004304A2" w:rsidRDefault="004304A2" w:rsidP="004304A2">
            <w:pPr>
              <w:spacing w:after="160" w:line="256" w:lineRule="auto"/>
              <w:rPr>
                <w:rFonts w:eastAsia="MS Mincho"/>
              </w:rPr>
            </w:pPr>
            <w:r w:rsidRPr="004304A2">
              <w:rPr>
                <w:rFonts w:eastAsia="MS Mincho"/>
              </w:rPr>
              <w:t>9.027</w:t>
            </w:r>
          </w:p>
        </w:tc>
        <w:tc>
          <w:tcPr>
            <w:tcW w:w="1064" w:type="dxa"/>
            <w:tcBorders>
              <w:top w:val="nil"/>
              <w:left w:val="nil"/>
              <w:bottom w:val="single" w:sz="4" w:space="0" w:color="auto"/>
              <w:right w:val="nil"/>
            </w:tcBorders>
            <w:hideMark/>
          </w:tcPr>
          <w:p w14:paraId="266AEA73" w14:textId="77777777" w:rsidR="004304A2" w:rsidRPr="004304A2" w:rsidRDefault="004304A2" w:rsidP="004304A2">
            <w:pPr>
              <w:spacing w:after="160" w:line="256" w:lineRule="auto"/>
              <w:rPr>
                <w:rFonts w:eastAsia="MS Mincho"/>
              </w:rPr>
            </w:pPr>
            <w:r w:rsidRPr="004304A2">
              <w:rPr>
                <w:rFonts w:eastAsia="MS Mincho"/>
              </w:rPr>
              <w:t>9.522</w:t>
            </w:r>
          </w:p>
        </w:tc>
        <w:tc>
          <w:tcPr>
            <w:tcW w:w="1064" w:type="dxa"/>
            <w:tcBorders>
              <w:top w:val="nil"/>
              <w:left w:val="nil"/>
              <w:bottom w:val="single" w:sz="4" w:space="0" w:color="auto"/>
              <w:right w:val="nil"/>
            </w:tcBorders>
            <w:hideMark/>
          </w:tcPr>
          <w:p w14:paraId="6EB114B1" w14:textId="77777777" w:rsidR="004304A2" w:rsidRPr="004304A2" w:rsidRDefault="004304A2" w:rsidP="004304A2">
            <w:pPr>
              <w:spacing w:after="160" w:line="256" w:lineRule="auto"/>
              <w:rPr>
                <w:rFonts w:eastAsia="MS Mincho"/>
              </w:rPr>
            </w:pPr>
            <w:r w:rsidRPr="004304A2">
              <w:rPr>
                <w:rFonts w:eastAsia="MS Mincho"/>
              </w:rPr>
              <w:t>68</w:t>
            </w:r>
          </w:p>
        </w:tc>
        <w:tc>
          <w:tcPr>
            <w:tcW w:w="1064" w:type="dxa"/>
            <w:tcBorders>
              <w:top w:val="nil"/>
              <w:left w:val="nil"/>
              <w:bottom w:val="single" w:sz="4" w:space="0" w:color="auto"/>
              <w:right w:val="nil"/>
            </w:tcBorders>
            <w:shd w:val="clear" w:color="auto" w:fill="FFFFFF"/>
            <w:hideMark/>
          </w:tcPr>
          <w:p w14:paraId="1A73BF1E" w14:textId="77777777" w:rsidR="004304A2" w:rsidRPr="004304A2" w:rsidRDefault="004304A2" w:rsidP="004304A2">
            <w:pPr>
              <w:spacing w:after="160" w:line="256" w:lineRule="auto"/>
              <w:rPr>
                <w:rFonts w:eastAsia="MS Mincho"/>
              </w:rPr>
            </w:pPr>
            <w:r w:rsidRPr="004304A2">
              <w:rPr>
                <w:rFonts w:eastAsia="MS Mincho"/>
              </w:rPr>
              <w:t>.000</w:t>
            </w:r>
          </w:p>
        </w:tc>
      </w:tr>
    </w:tbl>
    <w:p w14:paraId="38B2C9A6" w14:textId="77777777" w:rsidR="004304A2" w:rsidRPr="004304A2" w:rsidRDefault="004304A2" w:rsidP="004304A2">
      <w:pPr>
        <w:spacing w:after="160" w:line="256" w:lineRule="auto"/>
        <w:rPr>
          <w:rFonts w:eastAsia="Calibri"/>
          <w:b/>
        </w:rPr>
      </w:pPr>
    </w:p>
    <w:p w14:paraId="3DEEC331" w14:textId="77777777" w:rsidR="004304A2" w:rsidRPr="004304A2" w:rsidRDefault="004304A2" w:rsidP="004304A2">
      <w:pPr>
        <w:spacing w:after="160" w:line="256" w:lineRule="auto"/>
        <w:rPr>
          <w:rFonts w:eastAsia="Calibri"/>
          <w:b/>
        </w:rPr>
      </w:pPr>
    </w:p>
    <w:p w14:paraId="0BC2F922" w14:textId="77777777" w:rsidR="004304A2" w:rsidRPr="004304A2" w:rsidRDefault="004304A2" w:rsidP="004304A2">
      <w:pPr>
        <w:spacing w:after="200" w:line="276" w:lineRule="auto"/>
        <w:rPr>
          <w:rFonts w:eastAsia="Calibri"/>
        </w:rPr>
      </w:pPr>
      <w:r w:rsidRPr="004304A2">
        <w:rPr>
          <w:rFonts w:eastAsia="Calibri"/>
        </w:rPr>
        <w:br w:type="page"/>
      </w:r>
    </w:p>
    <w:p w14:paraId="51DC4805" w14:textId="77777777" w:rsidR="004304A2" w:rsidRPr="004304A2" w:rsidRDefault="004304A2" w:rsidP="004304A2">
      <w:pPr>
        <w:spacing w:after="160" w:line="256" w:lineRule="auto"/>
        <w:rPr>
          <w:rFonts w:eastAsia="Calibri"/>
          <w:b/>
        </w:rPr>
      </w:pPr>
      <w:r w:rsidRPr="004304A2">
        <w:rPr>
          <w:rFonts w:eastAsia="Calibri"/>
          <w:b/>
        </w:rPr>
        <w:t xml:space="preserve">Table 4 </w:t>
      </w:r>
    </w:p>
    <w:p w14:paraId="0AC3CA47" w14:textId="77777777" w:rsidR="004304A2" w:rsidRPr="004304A2" w:rsidRDefault="004304A2" w:rsidP="004304A2">
      <w:pPr>
        <w:spacing w:line="480" w:lineRule="auto"/>
        <w:rPr>
          <w:rFonts w:eastAsia="Calibri"/>
          <w:i/>
        </w:rPr>
      </w:pPr>
      <w:r w:rsidRPr="004304A2">
        <w:rPr>
          <w:rFonts w:eastAsia="Calibri"/>
          <w:i/>
        </w:rPr>
        <w:t xml:space="preserve">Summary of Paired Samples T-Test for Third-Grade Students in Experimental Group </w:t>
      </w:r>
    </w:p>
    <w:tbl>
      <w:tblPr>
        <w:tblStyle w:val="TableGrid7"/>
        <w:tblW w:w="0" w:type="auto"/>
        <w:tblBorders>
          <w:insideV w:val="none" w:sz="0" w:space="0" w:color="auto"/>
        </w:tblBorders>
        <w:tblLook w:val="04A0" w:firstRow="1" w:lastRow="0" w:firstColumn="1" w:lastColumn="0" w:noHBand="0" w:noVBand="1"/>
      </w:tblPr>
      <w:tblGrid>
        <w:gridCol w:w="1061"/>
        <w:gridCol w:w="1013"/>
        <w:gridCol w:w="1058"/>
        <w:gridCol w:w="1058"/>
        <w:gridCol w:w="1038"/>
        <w:gridCol w:w="1038"/>
        <w:gridCol w:w="1038"/>
        <w:gridCol w:w="1012"/>
        <w:gridCol w:w="1044"/>
      </w:tblGrid>
      <w:tr w:rsidR="004304A2" w:rsidRPr="004304A2" w14:paraId="5F016993" w14:textId="77777777" w:rsidTr="00C93D65">
        <w:tc>
          <w:tcPr>
            <w:tcW w:w="1064" w:type="dxa"/>
            <w:tcBorders>
              <w:top w:val="single" w:sz="4" w:space="0" w:color="auto"/>
              <w:left w:val="nil"/>
              <w:bottom w:val="single" w:sz="4" w:space="0" w:color="auto"/>
              <w:right w:val="nil"/>
            </w:tcBorders>
            <w:hideMark/>
          </w:tcPr>
          <w:p w14:paraId="1433ACD5" w14:textId="77777777" w:rsidR="004304A2" w:rsidRPr="004304A2" w:rsidRDefault="004304A2" w:rsidP="004304A2">
            <w:pPr>
              <w:spacing w:after="160" w:line="256" w:lineRule="auto"/>
              <w:rPr>
                <w:rFonts w:eastAsia="MS Mincho"/>
              </w:rPr>
            </w:pPr>
            <w:r w:rsidRPr="004304A2">
              <w:rPr>
                <w:rFonts w:eastAsia="MS Mincho"/>
              </w:rPr>
              <w:t>Subject</w:t>
            </w:r>
          </w:p>
        </w:tc>
        <w:tc>
          <w:tcPr>
            <w:tcW w:w="1064" w:type="dxa"/>
            <w:tcBorders>
              <w:top w:val="single" w:sz="4" w:space="0" w:color="auto"/>
              <w:left w:val="nil"/>
              <w:bottom w:val="single" w:sz="4" w:space="0" w:color="auto"/>
              <w:right w:val="nil"/>
            </w:tcBorders>
            <w:hideMark/>
          </w:tcPr>
          <w:p w14:paraId="1D7A3335" w14:textId="77777777" w:rsidR="004304A2" w:rsidRPr="004304A2" w:rsidRDefault="004304A2" w:rsidP="004304A2">
            <w:pPr>
              <w:spacing w:after="160" w:line="256" w:lineRule="auto"/>
              <w:rPr>
                <w:rFonts w:eastAsia="MS Mincho"/>
              </w:rPr>
            </w:pPr>
            <w:r w:rsidRPr="004304A2">
              <w:rPr>
                <w:rFonts w:eastAsia="MS Mincho"/>
              </w:rPr>
              <w:t>N</w:t>
            </w:r>
          </w:p>
        </w:tc>
        <w:tc>
          <w:tcPr>
            <w:tcW w:w="1064" w:type="dxa"/>
            <w:tcBorders>
              <w:top w:val="single" w:sz="4" w:space="0" w:color="auto"/>
              <w:left w:val="nil"/>
              <w:bottom w:val="single" w:sz="4" w:space="0" w:color="auto"/>
              <w:right w:val="nil"/>
            </w:tcBorders>
            <w:hideMark/>
          </w:tcPr>
          <w:p w14:paraId="740B4B32" w14:textId="77777777" w:rsidR="004304A2" w:rsidRPr="004304A2" w:rsidRDefault="004304A2" w:rsidP="004304A2">
            <w:pPr>
              <w:spacing w:after="160" w:line="256" w:lineRule="auto"/>
              <w:rPr>
                <w:rFonts w:eastAsia="MS Mincho"/>
              </w:rPr>
            </w:pPr>
            <w:r w:rsidRPr="004304A2">
              <w:rPr>
                <w:rFonts w:eastAsia="MS Mincho"/>
              </w:rPr>
              <w:t>Fall Mean</w:t>
            </w:r>
          </w:p>
        </w:tc>
        <w:tc>
          <w:tcPr>
            <w:tcW w:w="1064" w:type="dxa"/>
            <w:tcBorders>
              <w:top w:val="single" w:sz="4" w:space="0" w:color="auto"/>
              <w:left w:val="nil"/>
              <w:bottom w:val="single" w:sz="4" w:space="0" w:color="auto"/>
              <w:right w:val="nil"/>
            </w:tcBorders>
            <w:hideMark/>
          </w:tcPr>
          <w:p w14:paraId="7050C049" w14:textId="77777777" w:rsidR="004304A2" w:rsidRPr="004304A2" w:rsidRDefault="004304A2" w:rsidP="004304A2">
            <w:pPr>
              <w:spacing w:after="160" w:line="256" w:lineRule="auto"/>
              <w:rPr>
                <w:rFonts w:eastAsia="MS Mincho"/>
              </w:rPr>
            </w:pPr>
            <w:r w:rsidRPr="004304A2">
              <w:rPr>
                <w:rFonts w:eastAsia="MS Mincho"/>
              </w:rPr>
              <w:t xml:space="preserve">Winter Mean </w:t>
            </w:r>
          </w:p>
        </w:tc>
        <w:tc>
          <w:tcPr>
            <w:tcW w:w="1064" w:type="dxa"/>
            <w:tcBorders>
              <w:top w:val="single" w:sz="4" w:space="0" w:color="auto"/>
              <w:left w:val="nil"/>
              <w:bottom w:val="single" w:sz="4" w:space="0" w:color="auto"/>
              <w:right w:val="nil"/>
            </w:tcBorders>
            <w:hideMark/>
          </w:tcPr>
          <w:p w14:paraId="64EDABED" w14:textId="77777777" w:rsidR="004304A2" w:rsidRPr="004304A2" w:rsidRDefault="004304A2" w:rsidP="004304A2">
            <w:pPr>
              <w:spacing w:after="160" w:line="256" w:lineRule="auto"/>
              <w:rPr>
                <w:rFonts w:eastAsia="MS Mincho"/>
              </w:rPr>
            </w:pPr>
            <w:r w:rsidRPr="004304A2">
              <w:rPr>
                <w:rFonts w:eastAsia="MS Mincho"/>
              </w:rPr>
              <w:t>Mean Diff</w:t>
            </w:r>
          </w:p>
        </w:tc>
        <w:tc>
          <w:tcPr>
            <w:tcW w:w="1064" w:type="dxa"/>
            <w:tcBorders>
              <w:top w:val="single" w:sz="4" w:space="0" w:color="auto"/>
              <w:left w:val="nil"/>
              <w:bottom w:val="single" w:sz="4" w:space="0" w:color="auto"/>
              <w:right w:val="nil"/>
            </w:tcBorders>
            <w:hideMark/>
          </w:tcPr>
          <w:p w14:paraId="0CE9833C" w14:textId="77777777" w:rsidR="004304A2" w:rsidRPr="004304A2" w:rsidRDefault="004304A2" w:rsidP="004304A2">
            <w:pPr>
              <w:spacing w:after="160" w:line="256" w:lineRule="auto"/>
              <w:rPr>
                <w:rFonts w:eastAsia="MS Mincho"/>
              </w:rPr>
            </w:pPr>
            <w:r w:rsidRPr="004304A2">
              <w:rPr>
                <w:rFonts w:eastAsia="MS Mincho"/>
              </w:rPr>
              <w:t>SD Mean Diff</w:t>
            </w:r>
          </w:p>
        </w:tc>
        <w:tc>
          <w:tcPr>
            <w:tcW w:w="1064" w:type="dxa"/>
            <w:tcBorders>
              <w:top w:val="single" w:sz="4" w:space="0" w:color="auto"/>
              <w:left w:val="nil"/>
              <w:bottom w:val="single" w:sz="4" w:space="0" w:color="auto"/>
              <w:right w:val="nil"/>
            </w:tcBorders>
            <w:hideMark/>
          </w:tcPr>
          <w:p w14:paraId="755C49FE" w14:textId="77777777" w:rsidR="004304A2" w:rsidRPr="004304A2" w:rsidRDefault="004304A2" w:rsidP="004304A2">
            <w:pPr>
              <w:spacing w:after="160" w:line="256" w:lineRule="auto"/>
              <w:rPr>
                <w:rFonts w:eastAsia="MS Mincho"/>
              </w:rPr>
            </w:pPr>
            <w:r w:rsidRPr="004304A2">
              <w:rPr>
                <w:rFonts w:eastAsia="MS Mincho"/>
              </w:rPr>
              <w:t>t-value</w:t>
            </w:r>
          </w:p>
        </w:tc>
        <w:tc>
          <w:tcPr>
            <w:tcW w:w="1064" w:type="dxa"/>
            <w:tcBorders>
              <w:top w:val="single" w:sz="4" w:space="0" w:color="auto"/>
              <w:left w:val="nil"/>
              <w:bottom w:val="single" w:sz="4" w:space="0" w:color="auto"/>
              <w:right w:val="nil"/>
            </w:tcBorders>
            <w:hideMark/>
          </w:tcPr>
          <w:p w14:paraId="708F9420" w14:textId="77777777" w:rsidR="004304A2" w:rsidRPr="004304A2" w:rsidRDefault="004304A2" w:rsidP="004304A2">
            <w:pPr>
              <w:spacing w:after="160" w:line="256" w:lineRule="auto"/>
              <w:rPr>
                <w:rFonts w:eastAsia="MS Mincho"/>
              </w:rPr>
            </w:pPr>
            <w:r w:rsidRPr="004304A2">
              <w:rPr>
                <w:rFonts w:eastAsia="MS Mincho"/>
                <w:i/>
              </w:rPr>
              <w:t>df</w:t>
            </w:r>
          </w:p>
        </w:tc>
        <w:tc>
          <w:tcPr>
            <w:tcW w:w="1064" w:type="dxa"/>
            <w:tcBorders>
              <w:top w:val="single" w:sz="4" w:space="0" w:color="auto"/>
              <w:left w:val="nil"/>
              <w:bottom w:val="single" w:sz="4" w:space="0" w:color="auto"/>
              <w:right w:val="nil"/>
            </w:tcBorders>
            <w:hideMark/>
          </w:tcPr>
          <w:p w14:paraId="4F327D65" w14:textId="77777777" w:rsidR="004304A2" w:rsidRPr="004304A2" w:rsidRDefault="004304A2" w:rsidP="004304A2">
            <w:pPr>
              <w:spacing w:after="160" w:line="256" w:lineRule="auto"/>
              <w:rPr>
                <w:rFonts w:eastAsia="MS Mincho"/>
              </w:rPr>
            </w:pPr>
            <w:r w:rsidRPr="004304A2">
              <w:rPr>
                <w:rFonts w:eastAsia="MS Mincho"/>
              </w:rPr>
              <w:t>Sig-(2-tailed)</w:t>
            </w:r>
          </w:p>
        </w:tc>
      </w:tr>
      <w:tr w:rsidR="004304A2" w:rsidRPr="004304A2" w14:paraId="6D2DADD1" w14:textId="77777777" w:rsidTr="00C93D65">
        <w:tc>
          <w:tcPr>
            <w:tcW w:w="1064" w:type="dxa"/>
            <w:tcBorders>
              <w:top w:val="single" w:sz="4" w:space="0" w:color="auto"/>
              <w:left w:val="nil"/>
              <w:bottom w:val="nil"/>
              <w:right w:val="nil"/>
            </w:tcBorders>
            <w:hideMark/>
          </w:tcPr>
          <w:p w14:paraId="543C1D18" w14:textId="77777777" w:rsidR="004304A2" w:rsidRPr="004304A2" w:rsidRDefault="004304A2" w:rsidP="004304A2">
            <w:pPr>
              <w:spacing w:after="160" w:line="256" w:lineRule="auto"/>
              <w:rPr>
                <w:rFonts w:eastAsia="MS Mincho"/>
              </w:rPr>
            </w:pPr>
            <w:r w:rsidRPr="004304A2">
              <w:rPr>
                <w:rFonts w:eastAsia="MS Mincho"/>
              </w:rPr>
              <w:t>Math</w:t>
            </w:r>
          </w:p>
        </w:tc>
        <w:tc>
          <w:tcPr>
            <w:tcW w:w="1064" w:type="dxa"/>
            <w:tcBorders>
              <w:top w:val="single" w:sz="4" w:space="0" w:color="auto"/>
              <w:left w:val="nil"/>
              <w:bottom w:val="nil"/>
              <w:right w:val="nil"/>
            </w:tcBorders>
            <w:hideMark/>
          </w:tcPr>
          <w:p w14:paraId="213502C1" w14:textId="77777777" w:rsidR="004304A2" w:rsidRPr="004304A2" w:rsidRDefault="004304A2" w:rsidP="004304A2">
            <w:pPr>
              <w:spacing w:after="160" w:line="256" w:lineRule="auto"/>
              <w:rPr>
                <w:rFonts w:eastAsia="MS Mincho"/>
                <w:b/>
              </w:rPr>
            </w:pPr>
            <w:r w:rsidRPr="004304A2">
              <w:rPr>
                <w:rFonts w:eastAsia="MS Mincho"/>
              </w:rPr>
              <w:t>37</w:t>
            </w:r>
          </w:p>
        </w:tc>
        <w:tc>
          <w:tcPr>
            <w:tcW w:w="1064" w:type="dxa"/>
            <w:tcBorders>
              <w:top w:val="single" w:sz="4" w:space="0" w:color="auto"/>
              <w:left w:val="nil"/>
              <w:bottom w:val="nil"/>
              <w:right w:val="nil"/>
            </w:tcBorders>
            <w:hideMark/>
          </w:tcPr>
          <w:p w14:paraId="09B76236" w14:textId="77777777" w:rsidR="004304A2" w:rsidRPr="004304A2" w:rsidRDefault="004304A2" w:rsidP="004304A2">
            <w:pPr>
              <w:spacing w:after="160" w:line="256" w:lineRule="auto"/>
              <w:rPr>
                <w:rFonts w:eastAsia="MS Mincho"/>
              </w:rPr>
            </w:pPr>
            <w:r w:rsidRPr="004304A2">
              <w:rPr>
                <w:rFonts w:eastAsia="MS Mincho"/>
              </w:rPr>
              <w:t>189.973</w:t>
            </w:r>
          </w:p>
        </w:tc>
        <w:tc>
          <w:tcPr>
            <w:tcW w:w="1064" w:type="dxa"/>
            <w:tcBorders>
              <w:top w:val="single" w:sz="4" w:space="0" w:color="auto"/>
              <w:left w:val="nil"/>
              <w:bottom w:val="nil"/>
              <w:right w:val="nil"/>
            </w:tcBorders>
            <w:hideMark/>
          </w:tcPr>
          <w:p w14:paraId="5B3F58A7" w14:textId="77777777" w:rsidR="004304A2" w:rsidRPr="004304A2" w:rsidRDefault="004304A2" w:rsidP="004304A2">
            <w:pPr>
              <w:spacing w:after="160" w:line="256" w:lineRule="auto"/>
              <w:rPr>
                <w:rFonts w:eastAsia="MS Mincho"/>
              </w:rPr>
            </w:pPr>
            <w:r w:rsidRPr="004304A2">
              <w:rPr>
                <w:rFonts w:eastAsia="MS Mincho"/>
              </w:rPr>
              <w:t>195.432</w:t>
            </w:r>
          </w:p>
        </w:tc>
        <w:tc>
          <w:tcPr>
            <w:tcW w:w="1064" w:type="dxa"/>
            <w:tcBorders>
              <w:top w:val="single" w:sz="4" w:space="0" w:color="auto"/>
              <w:left w:val="nil"/>
              <w:bottom w:val="nil"/>
              <w:right w:val="nil"/>
            </w:tcBorders>
            <w:hideMark/>
          </w:tcPr>
          <w:p w14:paraId="2838F0DC" w14:textId="77777777" w:rsidR="004304A2" w:rsidRPr="004304A2" w:rsidRDefault="004304A2" w:rsidP="004304A2">
            <w:pPr>
              <w:spacing w:after="160" w:line="256" w:lineRule="auto"/>
              <w:rPr>
                <w:rFonts w:eastAsia="MS Mincho"/>
              </w:rPr>
            </w:pPr>
            <w:r w:rsidRPr="004304A2">
              <w:rPr>
                <w:rFonts w:eastAsia="MS Mincho"/>
              </w:rPr>
              <w:t>5.459</w:t>
            </w:r>
          </w:p>
        </w:tc>
        <w:tc>
          <w:tcPr>
            <w:tcW w:w="1064" w:type="dxa"/>
            <w:tcBorders>
              <w:top w:val="single" w:sz="4" w:space="0" w:color="auto"/>
              <w:left w:val="nil"/>
              <w:bottom w:val="nil"/>
              <w:right w:val="nil"/>
            </w:tcBorders>
            <w:hideMark/>
          </w:tcPr>
          <w:p w14:paraId="2B7CFADE" w14:textId="77777777" w:rsidR="004304A2" w:rsidRPr="004304A2" w:rsidRDefault="004304A2" w:rsidP="004304A2">
            <w:pPr>
              <w:spacing w:after="160" w:line="256" w:lineRule="auto"/>
              <w:rPr>
                <w:rFonts w:eastAsia="MS Mincho"/>
              </w:rPr>
            </w:pPr>
            <w:r w:rsidRPr="004304A2">
              <w:rPr>
                <w:rFonts w:eastAsia="MS Mincho"/>
              </w:rPr>
              <w:t>0.809</w:t>
            </w:r>
          </w:p>
        </w:tc>
        <w:tc>
          <w:tcPr>
            <w:tcW w:w="1064" w:type="dxa"/>
            <w:tcBorders>
              <w:top w:val="single" w:sz="4" w:space="0" w:color="auto"/>
              <w:left w:val="nil"/>
              <w:bottom w:val="nil"/>
              <w:right w:val="nil"/>
            </w:tcBorders>
            <w:hideMark/>
          </w:tcPr>
          <w:p w14:paraId="74B0F368" w14:textId="77777777" w:rsidR="004304A2" w:rsidRPr="004304A2" w:rsidRDefault="004304A2" w:rsidP="004304A2">
            <w:pPr>
              <w:spacing w:after="160" w:line="256" w:lineRule="auto"/>
              <w:rPr>
                <w:rFonts w:eastAsia="MS Mincho"/>
              </w:rPr>
            </w:pPr>
            <w:r w:rsidRPr="004304A2">
              <w:rPr>
                <w:rFonts w:eastAsia="MS Mincho"/>
              </w:rPr>
              <w:t>6.751</w:t>
            </w:r>
          </w:p>
        </w:tc>
        <w:tc>
          <w:tcPr>
            <w:tcW w:w="1064" w:type="dxa"/>
            <w:tcBorders>
              <w:top w:val="single" w:sz="4" w:space="0" w:color="auto"/>
              <w:left w:val="nil"/>
              <w:bottom w:val="nil"/>
              <w:right w:val="nil"/>
            </w:tcBorders>
            <w:hideMark/>
          </w:tcPr>
          <w:p w14:paraId="4376D80A" w14:textId="77777777" w:rsidR="004304A2" w:rsidRPr="004304A2" w:rsidRDefault="004304A2" w:rsidP="004304A2">
            <w:pPr>
              <w:spacing w:after="160" w:line="256" w:lineRule="auto"/>
              <w:rPr>
                <w:rFonts w:eastAsia="MS Mincho"/>
              </w:rPr>
            </w:pPr>
            <w:r w:rsidRPr="004304A2">
              <w:rPr>
                <w:rFonts w:eastAsia="MS Mincho"/>
              </w:rPr>
              <w:t>36</w:t>
            </w:r>
          </w:p>
        </w:tc>
        <w:tc>
          <w:tcPr>
            <w:tcW w:w="1064" w:type="dxa"/>
            <w:tcBorders>
              <w:top w:val="single" w:sz="4" w:space="0" w:color="auto"/>
              <w:left w:val="nil"/>
              <w:bottom w:val="nil"/>
              <w:right w:val="nil"/>
            </w:tcBorders>
            <w:hideMark/>
          </w:tcPr>
          <w:p w14:paraId="414AC9D4" w14:textId="77777777" w:rsidR="004304A2" w:rsidRPr="004304A2" w:rsidRDefault="004304A2" w:rsidP="004304A2">
            <w:pPr>
              <w:spacing w:after="160" w:line="256" w:lineRule="auto"/>
              <w:rPr>
                <w:rFonts w:eastAsia="MS Mincho"/>
              </w:rPr>
            </w:pPr>
            <w:r w:rsidRPr="004304A2">
              <w:rPr>
                <w:rFonts w:eastAsia="MS Mincho"/>
              </w:rPr>
              <w:t>.000</w:t>
            </w:r>
          </w:p>
        </w:tc>
      </w:tr>
      <w:tr w:rsidR="004304A2" w:rsidRPr="004304A2" w14:paraId="43F68447" w14:textId="77777777" w:rsidTr="004304A2">
        <w:tc>
          <w:tcPr>
            <w:tcW w:w="1064" w:type="dxa"/>
            <w:tcBorders>
              <w:top w:val="nil"/>
              <w:left w:val="nil"/>
              <w:bottom w:val="single" w:sz="4" w:space="0" w:color="auto"/>
              <w:right w:val="nil"/>
            </w:tcBorders>
            <w:hideMark/>
          </w:tcPr>
          <w:p w14:paraId="0C722909" w14:textId="77777777" w:rsidR="004304A2" w:rsidRPr="004304A2" w:rsidRDefault="004304A2" w:rsidP="004304A2">
            <w:pPr>
              <w:spacing w:after="160" w:line="256" w:lineRule="auto"/>
              <w:rPr>
                <w:rFonts w:eastAsia="MS Mincho"/>
              </w:rPr>
            </w:pPr>
            <w:r w:rsidRPr="004304A2">
              <w:rPr>
                <w:rFonts w:eastAsia="MS Mincho"/>
              </w:rPr>
              <w:t>Reading</w:t>
            </w:r>
          </w:p>
        </w:tc>
        <w:tc>
          <w:tcPr>
            <w:tcW w:w="1064" w:type="dxa"/>
            <w:tcBorders>
              <w:top w:val="nil"/>
              <w:left w:val="nil"/>
              <w:bottom w:val="single" w:sz="4" w:space="0" w:color="auto"/>
              <w:right w:val="nil"/>
            </w:tcBorders>
            <w:hideMark/>
          </w:tcPr>
          <w:p w14:paraId="129CE65C" w14:textId="77777777" w:rsidR="004304A2" w:rsidRPr="004304A2" w:rsidRDefault="004304A2" w:rsidP="004304A2">
            <w:pPr>
              <w:spacing w:after="160" w:line="256" w:lineRule="auto"/>
              <w:rPr>
                <w:rFonts w:eastAsia="MS Mincho"/>
              </w:rPr>
            </w:pPr>
            <w:r w:rsidRPr="004304A2">
              <w:rPr>
                <w:rFonts w:eastAsia="MS Mincho"/>
              </w:rPr>
              <w:t>38</w:t>
            </w:r>
          </w:p>
        </w:tc>
        <w:tc>
          <w:tcPr>
            <w:tcW w:w="1064" w:type="dxa"/>
            <w:tcBorders>
              <w:top w:val="nil"/>
              <w:left w:val="nil"/>
              <w:bottom w:val="single" w:sz="4" w:space="0" w:color="auto"/>
              <w:right w:val="nil"/>
            </w:tcBorders>
            <w:hideMark/>
          </w:tcPr>
          <w:p w14:paraId="283E11B8" w14:textId="77777777" w:rsidR="004304A2" w:rsidRPr="004304A2" w:rsidRDefault="004304A2" w:rsidP="004304A2">
            <w:pPr>
              <w:spacing w:after="160" w:line="256" w:lineRule="auto"/>
              <w:rPr>
                <w:rFonts w:eastAsia="MS Mincho"/>
              </w:rPr>
            </w:pPr>
            <w:r w:rsidRPr="004304A2">
              <w:rPr>
                <w:rFonts w:eastAsia="MS Mincho"/>
              </w:rPr>
              <w:t>186.263</w:t>
            </w:r>
          </w:p>
        </w:tc>
        <w:tc>
          <w:tcPr>
            <w:tcW w:w="1064" w:type="dxa"/>
            <w:tcBorders>
              <w:top w:val="nil"/>
              <w:left w:val="nil"/>
              <w:bottom w:val="single" w:sz="4" w:space="0" w:color="auto"/>
              <w:right w:val="nil"/>
            </w:tcBorders>
            <w:hideMark/>
          </w:tcPr>
          <w:p w14:paraId="703A7F75" w14:textId="77777777" w:rsidR="004304A2" w:rsidRPr="004304A2" w:rsidRDefault="004304A2" w:rsidP="004304A2">
            <w:pPr>
              <w:spacing w:after="160" w:line="256" w:lineRule="auto"/>
              <w:rPr>
                <w:rFonts w:eastAsia="MS Mincho"/>
              </w:rPr>
            </w:pPr>
            <w:r w:rsidRPr="004304A2">
              <w:rPr>
                <w:rFonts w:eastAsia="MS Mincho"/>
              </w:rPr>
              <w:t>191.421</w:t>
            </w:r>
          </w:p>
        </w:tc>
        <w:tc>
          <w:tcPr>
            <w:tcW w:w="1064" w:type="dxa"/>
            <w:tcBorders>
              <w:top w:val="nil"/>
              <w:left w:val="nil"/>
              <w:bottom w:val="single" w:sz="4" w:space="0" w:color="auto"/>
              <w:right w:val="nil"/>
            </w:tcBorders>
            <w:hideMark/>
          </w:tcPr>
          <w:p w14:paraId="0F388D83" w14:textId="77777777" w:rsidR="004304A2" w:rsidRPr="004304A2" w:rsidRDefault="004304A2" w:rsidP="004304A2">
            <w:pPr>
              <w:spacing w:after="160" w:line="256" w:lineRule="auto"/>
              <w:rPr>
                <w:rFonts w:eastAsia="MS Mincho"/>
              </w:rPr>
            </w:pPr>
            <w:r w:rsidRPr="004304A2">
              <w:rPr>
                <w:rFonts w:eastAsia="MS Mincho"/>
              </w:rPr>
              <w:t>5.158</w:t>
            </w:r>
          </w:p>
        </w:tc>
        <w:tc>
          <w:tcPr>
            <w:tcW w:w="1064" w:type="dxa"/>
            <w:tcBorders>
              <w:top w:val="nil"/>
              <w:left w:val="nil"/>
              <w:bottom w:val="single" w:sz="4" w:space="0" w:color="auto"/>
              <w:right w:val="nil"/>
            </w:tcBorders>
            <w:hideMark/>
          </w:tcPr>
          <w:p w14:paraId="0799A48C" w14:textId="77777777" w:rsidR="004304A2" w:rsidRPr="004304A2" w:rsidRDefault="004304A2" w:rsidP="004304A2">
            <w:pPr>
              <w:spacing w:after="160" w:line="256" w:lineRule="auto"/>
              <w:rPr>
                <w:rFonts w:eastAsia="MS Mincho"/>
              </w:rPr>
            </w:pPr>
            <w:r w:rsidRPr="004304A2">
              <w:rPr>
                <w:rFonts w:eastAsia="MS Mincho"/>
              </w:rPr>
              <w:t>1.676</w:t>
            </w:r>
          </w:p>
        </w:tc>
        <w:tc>
          <w:tcPr>
            <w:tcW w:w="1064" w:type="dxa"/>
            <w:tcBorders>
              <w:top w:val="nil"/>
              <w:left w:val="nil"/>
              <w:bottom w:val="single" w:sz="4" w:space="0" w:color="auto"/>
              <w:right w:val="nil"/>
            </w:tcBorders>
            <w:hideMark/>
          </w:tcPr>
          <w:p w14:paraId="2C4A4D0D" w14:textId="77777777" w:rsidR="004304A2" w:rsidRPr="004304A2" w:rsidRDefault="004304A2" w:rsidP="004304A2">
            <w:pPr>
              <w:spacing w:after="160" w:line="256" w:lineRule="auto"/>
              <w:rPr>
                <w:rFonts w:eastAsia="MS Mincho"/>
              </w:rPr>
            </w:pPr>
            <w:r w:rsidRPr="004304A2">
              <w:rPr>
                <w:rFonts w:eastAsia="MS Mincho"/>
              </w:rPr>
              <w:t>3.078</w:t>
            </w:r>
          </w:p>
        </w:tc>
        <w:tc>
          <w:tcPr>
            <w:tcW w:w="1064" w:type="dxa"/>
            <w:tcBorders>
              <w:top w:val="nil"/>
              <w:left w:val="nil"/>
              <w:bottom w:val="single" w:sz="4" w:space="0" w:color="auto"/>
              <w:right w:val="nil"/>
            </w:tcBorders>
            <w:hideMark/>
          </w:tcPr>
          <w:p w14:paraId="397ABC6C" w14:textId="77777777" w:rsidR="004304A2" w:rsidRPr="004304A2" w:rsidRDefault="004304A2" w:rsidP="004304A2">
            <w:pPr>
              <w:spacing w:after="160" w:line="256" w:lineRule="auto"/>
              <w:rPr>
                <w:rFonts w:eastAsia="MS Mincho"/>
              </w:rPr>
            </w:pPr>
            <w:r w:rsidRPr="004304A2">
              <w:rPr>
                <w:rFonts w:eastAsia="MS Mincho"/>
              </w:rPr>
              <w:t>37</w:t>
            </w:r>
          </w:p>
        </w:tc>
        <w:tc>
          <w:tcPr>
            <w:tcW w:w="1064" w:type="dxa"/>
            <w:tcBorders>
              <w:top w:val="nil"/>
              <w:left w:val="nil"/>
              <w:bottom w:val="single" w:sz="4" w:space="0" w:color="auto"/>
              <w:right w:val="nil"/>
            </w:tcBorders>
            <w:shd w:val="clear" w:color="auto" w:fill="FFFFFF"/>
            <w:hideMark/>
          </w:tcPr>
          <w:p w14:paraId="349B46C3" w14:textId="77777777" w:rsidR="004304A2" w:rsidRPr="004304A2" w:rsidRDefault="004304A2" w:rsidP="004304A2">
            <w:pPr>
              <w:spacing w:after="160" w:line="256" w:lineRule="auto"/>
              <w:rPr>
                <w:rFonts w:eastAsia="MS Mincho"/>
              </w:rPr>
            </w:pPr>
            <w:r w:rsidRPr="004304A2">
              <w:rPr>
                <w:rFonts w:eastAsia="MS Mincho"/>
              </w:rPr>
              <w:t>.004</w:t>
            </w:r>
          </w:p>
        </w:tc>
      </w:tr>
    </w:tbl>
    <w:p w14:paraId="633D5EAC" w14:textId="77777777" w:rsidR="004304A2" w:rsidRPr="004304A2" w:rsidRDefault="004304A2" w:rsidP="004304A2">
      <w:pPr>
        <w:spacing w:after="160" w:line="256" w:lineRule="auto"/>
        <w:rPr>
          <w:rFonts w:eastAsia="Calibri"/>
        </w:rPr>
      </w:pPr>
    </w:p>
    <w:p w14:paraId="4465E63E" w14:textId="77777777" w:rsidR="004304A2" w:rsidRPr="004304A2" w:rsidRDefault="004304A2" w:rsidP="004304A2">
      <w:pPr>
        <w:spacing w:after="160" w:line="256" w:lineRule="auto"/>
        <w:rPr>
          <w:rFonts w:eastAsia="Calibri"/>
          <w:b/>
        </w:rPr>
      </w:pPr>
      <w:r w:rsidRPr="004304A2">
        <w:rPr>
          <w:rFonts w:eastAsia="Calibri"/>
          <w:b/>
        </w:rPr>
        <w:t xml:space="preserve">Table 5 </w:t>
      </w:r>
    </w:p>
    <w:p w14:paraId="143EB8BC" w14:textId="77777777" w:rsidR="004304A2" w:rsidRPr="004304A2" w:rsidRDefault="004304A2" w:rsidP="004304A2">
      <w:pPr>
        <w:spacing w:line="480" w:lineRule="auto"/>
        <w:rPr>
          <w:rFonts w:eastAsia="Calibri"/>
          <w:i/>
        </w:rPr>
      </w:pPr>
      <w:r w:rsidRPr="004304A2">
        <w:rPr>
          <w:rFonts w:eastAsia="Calibri"/>
          <w:i/>
        </w:rPr>
        <w:t xml:space="preserve">Summary of Paired Samples T-Test for Fourth-Grade Students in Experimental Group </w:t>
      </w:r>
    </w:p>
    <w:tbl>
      <w:tblPr>
        <w:tblStyle w:val="TableGrid7"/>
        <w:tblW w:w="0" w:type="auto"/>
        <w:tblBorders>
          <w:insideV w:val="none" w:sz="0" w:space="0" w:color="auto"/>
        </w:tblBorders>
        <w:tblLook w:val="04A0" w:firstRow="1" w:lastRow="0" w:firstColumn="1" w:lastColumn="0" w:noHBand="0" w:noVBand="1"/>
      </w:tblPr>
      <w:tblGrid>
        <w:gridCol w:w="1061"/>
        <w:gridCol w:w="1013"/>
        <w:gridCol w:w="1058"/>
        <w:gridCol w:w="1058"/>
        <w:gridCol w:w="1038"/>
        <w:gridCol w:w="1038"/>
        <w:gridCol w:w="1038"/>
        <w:gridCol w:w="1012"/>
        <w:gridCol w:w="1044"/>
      </w:tblGrid>
      <w:tr w:rsidR="004304A2" w:rsidRPr="004304A2" w14:paraId="13ED4795" w14:textId="77777777" w:rsidTr="00C93D65">
        <w:tc>
          <w:tcPr>
            <w:tcW w:w="1064" w:type="dxa"/>
            <w:tcBorders>
              <w:top w:val="single" w:sz="4" w:space="0" w:color="auto"/>
              <w:left w:val="nil"/>
              <w:bottom w:val="single" w:sz="4" w:space="0" w:color="auto"/>
              <w:right w:val="nil"/>
            </w:tcBorders>
            <w:hideMark/>
          </w:tcPr>
          <w:p w14:paraId="4541C077" w14:textId="77777777" w:rsidR="004304A2" w:rsidRPr="004304A2" w:rsidRDefault="004304A2" w:rsidP="004304A2">
            <w:pPr>
              <w:spacing w:after="160" w:line="256" w:lineRule="auto"/>
              <w:rPr>
                <w:rFonts w:eastAsia="MS Mincho"/>
              </w:rPr>
            </w:pPr>
            <w:r w:rsidRPr="004304A2">
              <w:rPr>
                <w:rFonts w:eastAsia="MS Mincho"/>
              </w:rPr>
              <w:t>Subject</w:t>
            </w:r>
          </w:p>
        </w:tc>
        <w:tc>
          <w:tcPr>
            <w:tcW w:w="1064" w:type="dxa"/>
            <w:tcBorders>
              <w:top w:val="single" w:sz="4" w:space="0" w:color="auto"/>
              <w:left w:val="nil"/>
              <w:bottom w:val="single" w:sz="4" w:space="0" w:color="auto"/>
              <w:right w:val="nil"/>
            </w:tcBorders>
            <w:hideMark/>
          </w:tcPr>
          <w:p w14:paraId="0681699B" w14:textId="77777777" w:rsidR="004304A2" w:rsidRPr="004304A2" w:rsidRDefault="004304A2" w:rsidP="004304A2">
            <w:pPr>
              <w:spacing w:after="160" w:line="256" w:lineRule="auto"/>
              <w:rPr>
                <w:rFonts w:eastAsia="MS Mincho"/>
              </w:rPr>
            </w:pPr>
            <w:r w:rsidRPr="004304A2">
              <w:rPr>
                <w:rFonts w:eastAsia="MS Mincho"/>
              </w:rPr>
              <w:t>N</w:t>
            </w:r>
          </w:p>
        </w:tc>
        <w:tc>
          <w:tcPr>
            <w:tcW w:w="1064" w:type="dxa"/>
            <w:tcBorders>
              <w:top w:val="single" w:sz="4" w:space="0" w:color="auto"/>
              <w:left w:val="nil"/>
              <w:bottom w:val="single" w:sz="4" w:space="0" w:color="auto"/>
              <w:right w:val="nil"/>
            </w:tcBorders>
            <w:hideMark/>
          </w:tcPr>
          <w:p w14:paraId="2DBD00A7" w14:textId="77777777" w:rsidR="004304A2" w:rsidRPr="004304A2" w:rsidRDefault="004304A2" w:rsidP="004304A2">
            <w:pPr>
              <w:spacing w:after="160" w:line="256" w:lineRule="auto"/>
              <w:rPr>
                <w:rFonts w:eastAsia="MS Mincho"/>
              </w:rPr>
            </w:pPr>
            <w:r w:rsidRPr="004304A2">
              <w:rPr>
                <w:rFonts w:eastAsia="MS Mincho"/>
              </w:rPr>
              <w:t>Fall Mean</w:t>
            </w:r>
          </w:p>
        </w:tc>
        <w:tc>
          <w:tcPr>
            <w:tcW w:w="1064" w:type="dxa"/>
            <w:tcBorders>
              <w:top w:val="single" w:sz="4" w:space="0" w:color="auto"/>
              <w:left w:val="nil"/>
              <w:bottom w:val="single" w:sz="4" w:space="0" w:color="auto"/>
              <w:right w:val="nil"/>
            </w:tcBorders>
            <w:hideMark/>
          </w:tcPr>
          <w:p w14:paraId="46CED9FD" w14:textId="77777777" w:rsidR="004304A2" w:rsidRPr="004304A2" w:rsidRDefault="004304A2" w:rsidP="004304A2">
            <w:pPr>
              <w:spacing w:after="160" w:line="256" w:lineRule="auto"/>
              <w:rPr>
                <w:rFonts w:eastAsia="MS Mincho"/>
              </w:rPr>
            </w:pPr>
            <w:r w:rsidRPr="004304A2">
              <w:rPr>
                <w:rFonts w:eastAsia="MS Mincho"/>
              </w:rPr>
              <w:t xml:space="preserve">Winter Mean </w:t>
            </w:r>
          </w:p>
        </w:tc>
        <w:tc>
          <w:tcPr>
            <w:tcW w:w="1064" w:type="dxa"/>
            <w:tcBorders>
              <w:top w:val="single" w:sz="4" w:space="0" w:color="auto"/>
              <w:left w:val="nil"/>
              <w:bottom w:val="single" w:sz="4" w:space="0" w:color="auto"/>
              <w:right w:val="nil"/>
            </w:tcBorders>
            <w:hideMark/>
          </w:tcPr>
          <w:p w14:paraId="088D9827" w14:textId="77777777" w:rsidR="004304A2" w:rsidRPr="004304A2" w:rsidRDefault="004304A2" w:rsidP="004304A2">
            <w:pPr>
              <w:spacing w:after="160" w:line="256" w:lineRule="auto"/>
              <w:rPr>
                <w:rFonts w:eastAsia="MS Mincho"/>
              </w:rPr>
            </w:pPr>
            <w:r w:rsidRPr="004304A2">
              <w:rPr>
                <w:rFonts w:eastAsia="MS Mincho"/>
              </w:rPr>
              <w:t>Mean Diff</w:t>
            </w:r>
          </w:p>
        </w:tc>
        <w:tc>
          <w:tcPr>
            <w:tcW w:w="1064" w:type="dxa"/>
            <w:tcBorders>
              <w:top w:val="single" w:sz="4" w:space="0" w:color="auto"/>
              <w:left w:val="nil"/>
              <w:bottom w:val="single" w:sz="4" w:space="0" w:color="auto"/>
              <w:right w:val="nil"/>
            </w:tcBorders>
            <w:hideMark/>
          </w:tcPr>
          <w:p w14:paraId="3B12D075" w14:textId="77777777" w:rsidR="004304A2" w:rsidRPr="004304A2" w:rsidRDefault="004304A2" w:rsidP="004304A2">
            <w:pPr>
              <w:spacing w:after="160" w:line="256" w:lineRule="auto"/>
              <w:rPr>
                <w:rFonts w:eastAsia="MS Mincho"/>
              </w:rPr>
            </w:pPr>
            <w:r w:rsidRPr="004304A2">
              <w:rPr>
                <w:rFonts w:eastAsia="MS Mincho"/>
              </w:rPr>
              <w:t>SD Mean Diff</w:t>
            </w:r>
          </w:p>
        </w:tc>
        <w:tc>
          <w:tcPr>
            <w:tcW w:w="1064" w:type="dxa"/>
            <w:tcBorders>
              <w:top w:val="single" w:sz="4" w:space="0" w:color="auto"/>
              <w:left w:val="nil"/>
              <w:bottom w:val="single" w:sz="4" w:space="0" w:color="auto"/>
              <w:right w:val="nil"/>
            </w:tcBorders>
            <w:hideMark/>
          </w:tcPr>
          <w:p w14:paraId="5BD3EC7F" w14:textId="77777777" w:rsidR="004304A2" w:rsidRPr="004304A2" w:rsidRDefault="004304A2" w:rsidP="004304A2">
            <w:pPr>
              <w:spacing w:after="160" w:line="256" w:lineRule="auto"/>
              <w:rPr>
                <w:rFonts w:eastAsia="MS Mincho"/>
              </w:rPr>
            </w:pPr>
            <w:r w:rsidRPr="004304A2">
              <w:rPr>
                <w:rFonts w:eastAsia="MS Mincho"/>
              </w:rPr>
              <w:t>t-value</w:t>
            </w:r>
          </w:p>
        </w:tc>
        <w:tc>
          <w:tcPr>
            <w:tcW w:w="1064" w:type="dxa"/>
            <w:tcBorders>
              <w:top w:val="single" w:sz="4" w:space="0" w:color="auto"/>
              <w:left w:val="nil"/>
              <w:bottom w:val="single" w:sz="4" w:space="0" w:color="auto"/>
              <w:right w:val="nil"/>
            </w:tcBorders>
            <w:hideMark/>
          </w:tcPr>
          <w:p w14:paraId="6C24B5BA" w14:textId="77777777" w:rsidR="004304A2" w:rsidRPr="004304A2" w:rsidRDefault="004304A2" w:rsidP="004304A2">
            <w:pPr>
              <w:spacing w:after="160" w:line="256" w:lineRule="auto"/>
              <w:rPr>
                <w:rFonts w:eastAsia="MS Mincho"/>
              </w:rPr>
            </w:pPr>
            <w:r w:rsidRPr="004304A2">
              <w:rPr>
                <w:rFonts w:eastAsia="MS Mincho"/>
                <w:i/>
              </w:rPr>
              <w:t>df</w:t>
            </w:r>
          </w:p>
        </w:tc>
        <w:tc>
          <w:tcPr>
            <w:tcW w:w="1064" w:type="dxa"/>
            <w:tcBorders>
              <w:top w:val="single" w:sz="4" w:space="0" w:color="auto"/>
              <w:left w:val="nil"/>
              <w:bottom w:val="single" w:sz="4" w:space="0" w:color="auto"/>
              <w:right w:val="nil"/>
            </w:tcBorders>
            <w:hideMark/>
          </w:tcPr>
          <w:p w14:paraId="575C887F" w14:textId="77777777" w:rsidR="004304A2" w:rsidRPr="004304A2" w:rsidRDefault="004304A2" w:rsidP="004304A2">
            <w:pPr>
              <w:spacing w:after="160" w:line="256" w:lineRule="auto"/>
              <w:rPr>
                <w:rFonts w:eastAsia="MS Mincho"/>
              </w:rPr>
            </w:pPr>
            <w:r w:rsidRPr="004304A2">
              <w:rPr>
                <w:rFonts w:eastAsia="MS Mincho"/>
              </w:rPr>
              <w:t>Sig-(2-tailed)</w:t>
            </w:r>
          </w:p>
        </w:tc>
      </w:tr>
      <w:tr w:rsidR="004304A2" w:rsidRPr="004304A2" w14:paraId="0233D02F" w14:textId="77777777" w:rsidTr="00C93D65">
        <w:tc>
          <w:tcPr>
            <w:tcW w:w="1064" w:type="dxa"/>
            <w:tcBorders>
              <w:top w:val="single" w:sz="4" w:space="0" w:color="auto"/>
              <w:left w:val="nil"/>
              <w:bottom w:val="nil"/>
              <w:right w:val="nil"/>
            </w:tcBorders>
            <w:hideMark/>
          </w:tcPr>
          <w:p w14:paraId="10DFD1A2" w14:textId="77777777" w:rsidR="004304A2" w:rsidRPr="004304A2" w:rsidRDefault="004304A2" w:rsidP="004304A2">
            <w:pPr>
              <w:spacing w:after="160" w:line="256" w:lineRule="auto"/>
              <w:rPr>
                <w:rFonts w:eastAsia="MS Mincho"/>
              </w:rPr>
            </w:pPr>
            <w:r w:rsidRPr="004304A2">
              <w:rPr>
                <w:rFonts w:eastAsia="MS Mincho"/>
              </w:rPr>
              <w:t>Math</w:t>
            </w:r>
          </w:p>
        </w:tc>
        <w:tc>
          <w:tcPr>
            <w:tcW w:w="1064" w:type="dxa"/>
            <w:tcBorders>
              <w:top w:val="single" w:sz="4" w:space="0" w:color="auto"/>
              <w:left w:val="nil"/>
              <w:bottom w:val="nil"/>
              <w:right w:val="nil"/>
            </w:tcBorders>
            <w:hideMark/>
          </w:tcPr>
          <w:p w14:paraId="7579F7A9" w14:textId="77777777" w:rsidR="004304A2" w:rsidRPr="004304A2" w:rsidRDefault="004304A2" w:rsidP="004304A2">
            <w:pPr>
              <w:spacing w:after="160" w:line="256" w:lineRule="auto"/>
              <w:rPr>
                <w:rFonts w:eastAsia="MS Mincho"/>
                <w:b/>
              </w:rPr>
            </w:pPr>
            <w:r w:rsidRPr="004304A2">
              <w:rPr>
                <w:rFonts w:eastAsia="MS Mincho"/>
              </w:rPr>
              <w:t>18</w:t>
            </w:r>
          </w:p>
        </w:tc>
        <w:tc>
          <w:tcPr>
            <w:tcW w:w="1064" w:type="dxa"/>
            <w:tcBorders>
              <w:top w:val="single" w:sz="4" w:space="0" w:color="auto"/>
              <w:left w:val="nil"/>
              <w:bottom w:val="nil"/>
              <w:right w:val="nil"/>
            </w:tcBorders>
            <w:hideMark/>
          </w:tcPr>
          <w:p w14:paraId="631EF6FE" w14:textId="77777777" w:rsidR="004304A2" w:rsidRPr="004304A2" w:rsidRDefault="004304A2" w:rsidP="004304A2">
            <w:pPr>
              <w:spacing w:after="160" w:line="256" w:lineRule="auto"/>
              <w:rPr>
                <w:rFonts w:eastAsia="MS Mincho"/>
              </w:rPr>
            </w:pPr>
            <w:r w:rsidRPr="004304A2">
              <w:rPr>
                <w:rFonts w:eastAsia="MS Mincho"/>
              </w:rPr>
              <w:t>197.722</w:t>
            </w:r>
          </w:p>
        </w:tc>
        <w:tc>
          <w:tcPr>
            <w:tcW w:w="1064" w:type="dxa"/>
            <w:tcBorders>
              <w:top w:val="single" w:sz="4" w:space="0" w:color="auto"/>
              <w:left w:val="nil"/>
              <w:bottom w:val="nil"/>
              <w:right w:val="nil"/>
            </w:tcBorders>
            <w:hideMark/>
          </w:tcPr>
          <w:p w14:paraId="35F65DFE" w14:textId="77777777" w:rsidR="004304A2" w:rsidRPr="004304A2" w:rsidRDefault="004304A2" w:rsidP="004304A2">
            <w:pPr>
              <w:spacing w:after="160" w:line="256" w:lineRule="auto"/>
              <w:rPr>
                <w:rFonts w:eastAsia="MS Mincho"/>
              </w:rPr>
            </w:pPr>
            <w:r w:rsidRPr="004304A2">
              <w:rPr>
                <w:rFonts w:eastAsia="MS Mincho"/>
              </w:rPr>
              <w:t>201.722</w:t>
            </w:r>
          </w:p>
        </w:tc>
        <w:tc>
          <w:tcPr>
            <w:tcW w:w="1064" w:type="dxa"/>
            <w:tcBorders>
              <w:top w:val="single" w:sz="4" w:space="0" w:color="auto"/>
              <w:left w:val="nil"/>
              <w:bottom w:val="nil"/>
              <w:right w:val="nil"/>
            </w:tcBorders>
            <w:hideMark/>
          </w:tcPr>
          <w:p w14:paraId="4780AC72" w14:textId="77777777" w:rsidR="004304A2" w:rsidRPr="004304A2" w:rsidRDefault="004304A2" w:rsidP="004304A2">
            <w:pPr>
              <w:spacing w:after="160" w:line="256" w:lineRule="auto"/>
              <w:rPr>
                <w:rFonts w:eastAsia="MS Mincho"/>
              </w:rPr>
            </w:pPr>
            <w:r w:rsidRPr="004304A2">
              <w:rPr>
                <w:rFonts w:eastAsia="MS Mincho"/>
              </w:rPr>
              <w:t>4.000</w:t>
            </w:r>
          </w:p>
        </w:tc>
        <w:tc>
          <w:tcPr>
            <w:tcW w:w="1064" w:type="dxa"/>
            <w:tcBorders>
              <w:top w:val="single" w:sz="4" w:space="0" w:color="auto"/>
              <w:left w:val="nil"/>
              <w:bottom w:val="nil"/>
              <w:right w:val="nil"/>
            </w:tcBorders>
            <w:hideMark/>
          </w:tcPr>
          <w:p w14:paraId="2E645CB8" w14:textId="77777777" w:rsidR="004304A2" w:rsidRPr="004304A2" w:rsidRDefault="004304A2" w:rsidP="004304A2">
            <w:pPr>
              <w:spacing w:after="160" w:line="256" w:lineRule="auto"/>
              <w:rPr>
                <w:rFonts w:eastAsia="MS Mincho"/>
              </w:rPr>
            </w:pPr>
            <w:r w:rsidRPr="004304A2">
              <w:rPr>
                <w:rFonts w:eastAsia="MS Mincho"/>
              </w:rPr>
              <w:t>7.079</w:t>
            </w:r>
          </w:p>
        </w:tc>
        <w:tc>
          <w:tcPr>
            <w:tcW w:w="1064" w:type="dxa"/>
            <w:tcBorders>
              <w:top w:val="single" w:sz="4" w:space="0" w:color="auto"/>
              <w:left w:val="nil"/>
              <w:bottom w:val="nil"/>
              <w:right w:val="nil"/>
            </w:tcBorders>
            <w:hideMark/>
          </w:tcPr>
          <w:p w14:paraId="5B45C75F" w14:textId="77777777" w:rsidR="004304A2" w:rsidRPr="004304A2" w:rsidRDefault="004304A2" w:rsidP="004304A2">
            <w:pPr>
              <w:spacing w:after="160" w:line="256" w:lineRule="auto"/>
              <w:rPr>
                <w:rFonts w:eastAsia="MS Mincho"/>
              </w:rPr>
            </w:pPr>
            <w:r w:rsidRPr="004304A2">
              <w:rPr>
                <w:rFonts w:eastAsia="MS Mincho"/>
              </w:rPr>
              <w:t>2.397</w:t>
            </w:r>
          </w:p>
        </w:tc>
        <w:tc>
          <w:tcPr>
            <w:tcW w:w="1064" w:type="dxa"/>
            <w:tcBorders>
              <w:top w:val="single" w:sz="4" w:space="0" w:color="auto"/>
              <w:left w:val="nil"/>
              <w:bottom w:val="nil"/>
              <w:right w:val="nil"/>
            </w:tcBorders>
            <w:hideMark/>
          </w:tcPr>
          <w:p w14:paraId="1EFE811F" w14:textId="77777777" w:rsidR="004304A2" w:rsidRPr="004304A2" w:rsidRDefault="004304A2" w:rsidP="004304A2">
            <w:pPr>
              <w:spacing w:after="160" w:line="256" w:lineRule="auto"/>
              <w:rPr>
                <w:rFonts w:eastAsia="MS Mincho"/>
              </w:rPr>
            </w:pPr>
            <w:r w:rsidRPr="004304A2">
              <w:rPr>
                <w:rFonts w:eastAsia="MS Mincho"/>
              </w:rPr>
              <w:t>17</w:t>
            </w:r>
          </w:p>
        </w:tc>
        <w:tc>
          <w:tcPr>
            <w:tcW w:w="1064" w:type="dxa"/>
            <w:tcBorders>
              <w:top w:val="single" w:sz="4" w:space="0" w:color="auto"/>
              <w:left w:val="nil"/>
              <w:bottom w:val="nil"/>
              <w:right w:val="nil"/>
            </w:tcBorders>
            <w:hideMark/>
          </w:tcPr>
          <w:p w14:paraId="24AC5489" w14:textId="77777777" w:rsidR="004304A2" w:rsidRPr="004304A2" w:rsidRDefault="004304A2" w:rsidP="004304A2">
            <w:pPr>
              <w:spacing w:after="160" w:line="256" w:lineRule="auto"/>
              <w:rPr>
                <w:rFonts w:eastAsia="MS Mincho"/>
              </w:rPr>
            </w:pPr>
            <w:r w:rsidRPr="004304A2">
              <w:rPr>
                <w:rFonts w:eastAsia="MS Mincho"/>
              </w:rPr>
              <w:t>.028</w:t>
            </w:r>
          </w:p>
        </w:tc>
      </w:tr>
      <w:tr w:rsidR="004304A2" w:rsidRPr="004304A2" w14:paraId="17EE7B89" w14:textId="77777777" w:rsidTr="004304A2">
        <w:tc>
          <w:tcPr>
            <w:tcW w:w="1064" w:type="dxa"/>
            <w:tcBorders>
              <w:top w:val="nil"/>
              <w:left w:val="nil"/>
              <w:bottom w:val="single" w:sz="4" w:space="0" w:color="auto"/>
              <w:right w:val="nil"/>
            </w:tcBorders>
            <w:hideMark/>
          </w:tcPr>
          <w:p w14:paraId="18C64855" w14:textId="77777777" w:rsidR="004304A2" w:rsidRPr="004304A2" w:rsidRDefault="004304A2" w:rsidP="004304A2">
            <w:pPr>
              <w:spacing w:after="160" w:line="256" w:lineRule="auto"/>
              <w:rPr>
                <w:rFonts w:eastAsia="MS Mincho"/>
              </w:rPr>
            </w:pPr>
            <w:r w:rsidRPr="004304A2">
              <w:rPr>
                <w:rFonts w:eastAsia="MS Mincho"/>
              </w:rPr>
              <w:t>Reading</w:t>
            </w:r>
          </w:p>
        </w:tc>
        <w:tc>
          <w:tcPr>
            <w:tcW w:w="1064" w:type="dxa"/>
            <w:tcBorders>
              <w:top w:val="nil"/>
              <w:left w:val="nil"/>
              <w:bottom w:val="single" w:sz="4" w:space="0" w:color="auto"/>
              <w:right w:val="nil"/>
            </w:tcBorders>
            <w:hideMark/>
          </w:tcPr>
          <w:p w14:paraId="09D1B3A2" w14:textId="77777777" w:rsidR="004304A2" w:rsidRPr="004304A2" w:rsidRDefault="004304A2" w:rsidP="004304A2">
            <w:pPr>
              <w:spacing w:after="160" w:line="256" w:lineRule="auto"/>
              <w:rPr>
                <w:rFonts w:eastAsia="MS Mincho"/>
              </w:rPr>
            </w:pPr>
            <w:r w:rsidRPr="004304A2">
              <w:rPr>
                <w:rFonts w:eastAsia="MS Mincho"/>
              </w:rPr>
              <w:t>18</w:t>
            </w:r>
          </w:p>
        </w:tc>
        <w:tc>
          <w:tcPr>
            <w:tcW w:w="1064" w:type="dxa"/>
            <w:tcBorders>
              <w:top w:val="nil"/>
              <w:left w:val="nil"/>
              <w:bottom w:val="single" w:sz="4" w:space="0" w:color="auto"/>
              <w:right w:val="nil"/>
            </w:tcBorders>
            <w:hideMark/>
          </w:tcPr>
          <w:p w14:paraId="4CE514A9" w14:textId="77777777" w:rsidR="004304A2" w:rsidRPr="004304A2" w:rsidRDefault="004304A2" w:rsidP="004304A2">
            <w:pPr>
              <w:spacing w:after="160" w:line="256" w:lineRule="auto"/>
              <w:rPr>
                <w:rFonts w:eastAsia="MS Mincho"/>
              </w:rPr>
            </w:pPr>
            <w:r w:rsidRPr="004304A2">
              <w:rPr>
                <w:rFonts w:eastAsia="MS Mincho"/>
              </w:rPr>
              <w:t>193.667</w:t>
            </w:r>
          </w:p>
        </w:tc>
        <w:tc>
          <w:tcPr>
            <w:tcW w:w="1064" w:type="dxa"/>
            <w:tcBorders>
              <w:top w:val="nil"/>
              <w:left w:val="nil"/>
              <w:bottom w:val="single" w:sz="4" w:space="0" w:color="auto"/>
              <w:right w:val="nil"/>
            </w:tcBorders>
            <w:hideMark/>
          </w:tcPr>
          <w:p w14:paraId="0B5663D3" w14:textId="77777777" w:rsidR="004304A2" w:rsidRPr="004304A2" w:rsidRDefault="004304A2" w:rsidP="004304A2">
            <w:pPr>
              <w:spacing w:after="160" w:line="256" w:lineRule="auto"/>
              <w:rPr>
                <w:rFonts w:eastAsia="MS Mincho"/>
              </w:rPr>
            </w:pPr>
            <w:r w:rsidRPr="004304A2">
              <w:rPr>
                <w:rFonts w:eastAsia="MS Mincho"/>
              </w:rPr>
              <w:t>202.111</w:t>
            </w:r>
          </w:p>
        </w:tc>
        <w:tc>
          <w:tcPr>
            <w:tcW w:w="1064" w:type="dxa"/>
            <w:tcBorders>
              <w:top w:val="nil"/>
              <w:left w:val="nil"/>
              <w:bottom w:val="single" w:sz="4" w:space="0" w:color="auto"/>
              <w:right w:val="nil"/>
            </w:tcBorders>
            <w:hideMark/>
          </w:tcPr>
          <w:p w14:paraId="0C40539F" w14:textId="77777777" w:rsidR="004304A2" w:rsidRPr="004304A2" w:rsidRDefault="004304A2" w:rsidP="004304A2">
            <w:pPr>
              <w:spacing w:after="160" w:line="256" w:lineRule="auto"/>
              <w:rPr>
                <w:rFonts w:eastAsia="MS Mincho"/>
              </w:rPr>
            </w:pPr>
            <w:r w:rsidRPr="004304A2">
              <w:rPr>
                <w:rFonts w:eastAsia="MS Mincho"/>
              </w:rPr>
              <w:t>8.444</w:t>
            </w:r>
          </w:p>
        </w:tc>
        <w:tc>
          <w:tcPr>
            <w:tcW w:w="1064" w:type="dxa"/>
            <w:tcBorders>
              <w:top w:val="nil"/>
              <w:left w:val="nil"/>
              <w:bottom w:val="single" w:sz="4" w:space="0" w:color="auto"/>
              <w:right w:val="nil"/>
            </w:tcBorders>
            <w:hideMark/>
          </w:tcPr>
          <w:p w14:paraId="1AD4B68F" w14:textId="77777777" w:rsidR="004304A2" w:rsidRPr="004304A2" w:rsidRDefault="004304A2" w:rsidP="004304A2">
            <w:pPr>
              <w:spacing w:after="160" w:line="256" w:lineRule="auto"/>
              <w:rPr>
                <w:rFonts w:eastAsia="MS Mincho"/>
              </w:rPr>
            </w:pPr>
            <w:r w:rsidRPr="004304A2">
              <w:rPr>
                <w:rFonts w:eastAsia="MS Mincho"/>
              </w:rPr>
              <w:t>7.571</w:t>
            </w:r>
          </w:p>
        </w:tc>
        <w:tc>
          <w:tcPr>
            <w:tcW w:w="1064" w:type="dxa"/>
            <w:tcBorders>
              <w:top w:val="nil"/>
              <w:left w:val="nil"/>
              <w:bottom w:val="single" w:sz="4" w:space="0" w:color="auto"/>
              <w:right w:val="nil"/>
            </w:tcBorders>
            <w:hideMark/>
          </w:tcPr>
          <w:p w14:paraId="6D6C3D79" w14:textId="77777777" w:rsidR="004304A2" w:rsidRPr="004304A2" w:rsidRDefault="004304A2" w:rsidP="004304A2">
            <w:pPr>
              <w:spacing w:after="160" w:line="256" w:lineRule="auto"/>
              <w:rPr>
                <w:rFonts w:eastAsia="MS Mincho"/>
              </w:rPr>
            </w:pPr>
            <w:r w:rsidRPr="004304A2">
              <w:rPr>
                <w:rFonts w:eastAsia="MS Mincho"/>
              </w:rPr>
              <w:t>4.732</w:t>
            </w:r>
          </w:p>
        </w:tc>
        <w:tc>
          <w:tcPr>
            <w:tcW w:w="1064" w:type="dxa"/>
            <w:tcBorders>
              <w:top w:val="nil"/>
              <w:left w:val="nil"/>
              <w:bottom w:val="single" w:sz="4" w:space="0" w:color="auto"/>
              <w:right w:val="nil"/>
            </w:tcBorders>
            <w:hideMark/>
          </w:tcPr>
          <w:p w14:paraId="6C7F4DA1" w14:textId="77777777" w:rsidR="004304A2" w:rsidRPr="004304A2" w:rsidRDefault="004304A2" w:rsidP="004304A2">
            <w:pPr>
              <w:spacing w:after="160" w:line="256" w:lineRule="auto"/>
              <w:rPr>
                <w:rFonts w:eastAsia="MS Mincho"/>
              </w:rPr>
            </w:pPr>
            <w:r w:rsidRPr="004304A2">
              <w:rPr>
                <w:rFonts w:eastAsia="MS Mincho"/>
              </w:rPr>
              <w:t>17</w:t>
            </w:r>
          </w:p>
        </w:tc>
        <w:tc>
          <w:tcPr>
            <w:tcW w:w="1064" w:type="dxa"/>
            <w:tcBorders>
              <w:top w:val="nil"/>
              <w:left w:val="nil"/>
              <w:bottom w:val="single" w:sz="4" w:space="0" w:color="auto"/>
              <w:right w:val="nil"/>
            </w:tcBorders>
            <w:shd w:val="clear" w:color="auto" w:fill="FFFFFF"/>
            <w:hideMark/>
          </w:tcPr>
          <w:p w14:paraId="6AD2114C" w14:textId="77777777" w:rsidR="004304A2" w:rsidRPr="004304A2" w:rsidRDefault="004304A2" w:rsidP="004304A2">
            <w:pPr>
              <w:spacing w:after="160" w:line="256" w:lineRule="auto"/>
              <w:rPr>
                <w:rFonts w:eastAsia="MS Mincho"/>
              </w:rPr>
            </w:pPr>
            <w:r w:rsidRPr="004304A2">
              <w:rPr>
                <w:rFonts w:eastAsia="MS Mincho"/>
              </w:rPr>
              <w:t>.000</w:t>
            </w:r>
          </w:p>
        </w:tc>
      </w:tr>
    </w:tbl>
    <w:p w14:paraId="3305F20A" w14:textId="77777777" w:rsidR="004304A2" w:rsidRPr="004304A2" w:rsidRDefault="004304A2" w:rsidP="004304A2">
      <w:pPr>
        <w:spacing w:after="200" w:line="276" w:lineRule="auto"/>
        <w:rPr>
          <w:rFonts w:ascii="Calibri" w:eastAsia="Calibri" w:hAnsi="Calibri" w:cs="Arial"/>
          <w:sz w:val="22"/>
          <w:szCs w:val="22"/>
        </w:rPr>
      </w:pPr>
    </w:p>
    <w:p w14:paraId="0623371D" w14:textId="77777777" w:rsidR="004304A2" w:rsidRPr="004304A2" w:rsidRDefault="004304A2" w:rsidP="004304A2">
      <w:pPr>
        <w:spacing w:line="480" w:lineRule="auto"/>
        <w:ind w:left="720" w:hanging="720"/>
        <w:jc w:val="both"/>
        <w:rPr>
          <w:rFonts w:eastAsia="Calibri"/>
        </w:rPr>
      </w:pPr>
    </w:p>
    <w:p w14:paraId="1005FFF9" w14:textId="77777777" w:rsidR="004304A2" w:rsidRPr="004304A2" w:rsidRDefault="004304A2" w:rsidP="004304A2">
      <w:pPr>
        <w:spacing w:after="160" w:line="259" w:lineRule="auto"/>
        <w:rPr>
          <w:rFonts w:eastAsia="Calibri"/>
        </w:rPr>
        <w:sectPr w:rsidR="004304A2" w:rsidRPr="004304A2" w:rsidSect="00C93D65">
          <w:headerReference w:type="first" r:id="rId33"/>
          <w:pgSz w:w="12240" w:h="15840"/>
          <w:pgMar w:top="1440" w:right="1440" w:bottom="1440" w:left="1440" w:header="720" w:footer="720" w:gutter="0"/>
          <w:cols w:space="720"/>
          <w:titlePg/>
          <w:docGrid w:linePitch="360"/>
        </w:sectPr>
      </w:pPr>
      <w:r w:rsidRPr="004304A2">
        <w:rPr>
          <w:rFonts w:eastAsia="Calibri"/>
        </w:rPr>
        <w:br w:type="page"/>
      </w:r>
    </w:p>
    <w:p w14:paraId="51399BEB" w14:textId="77777777" w:rsidR="004304A2" w:rsidRPr="004304A2" w:rsidRDefault="004304A2" w:rsidP="004304A2">
      <w:pPr>
        <w:tabs>
          <w:tab w:val="left" w:pos="1140"/>
        </w:tabs>
        <w:spacing w:after="200" w:line="276" w:lineRule="auto"/>
        <w:rPr>
          <w:rFonts w:eastAsia="Calibri"/>
          <w:b/>
        </w:rPr>
      </w:pPr>
      <w:r w:rsidRPr="004304A2">
        <w:rPr>
          <w:rFonts w:eastAsia="Calibri"/>
          <w:b/>
        </w:rPr>
        <w:t xml:space="preserve">Table 6 </w:t>
      </w:r>
    </w:p>
    <w:p w14:paraId="2A1F6382" w14:textId="77777777" w:rsidR="004304A2" w:rsidRPr="004304A2" w:rsidRDefault="004304A2" w:rsidP="004304A2">
      <w:pPr>
        <w:tabs>
          <w:tab w:val="left" w:pos="1140"/>
        </w:tabs>
        <w:spacing w:after="200" w:line="276" w:lineRule="auto"/>
        <w:rPr>
          <w:rFonts w:eastAsia="Calibri"/>
          <w:i/>
        </w:rPr>
      </w:pPr>
      <w:r w:rsidRPr="004304A2">
        <w:rPr>
          <w:rFonts w:eastAsia="Calibri"/>
          <w:i/>
        </w:rPr>
        <w:t xml:space="preserve">Summary of Mixed Between-Within Subjects for All Grade Levels </w:t>
      </w:r>
    </w:p>
    <w:tbl>
      <w:tblPr>
        <w:tblStyle w:val="TableGrid7"/>
        <w:tblW w:w="14742" w:type="dxa"/>
        <w:tblInd w:w="-702"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20"/>
        <w:gridCol w:w="1710"/>
        <w:gridCol w:w="900"/>
        <w:gridCol w:w="1260"/>
        <w:gridCol w:w="1530"/>
        <w:gridCol w:w="1530"/>
        <w:gridCol w:w="1350"/>
        <w:gridCol w:w="1440"/>
        <w:gridCol w:w="1440"/>
        <w:gridCol w:w="1062"/>
      </w:tblGrid>
      <w:tr w:rsidR="004304A2" w:rsidRPr="004304A2" w14:paraId="6E84C43D" w14:textId="77777777" w:rsidTr="00C93D65">
        <w:trPr>
          <w:trHeight w:val="1025"/>
        </w:trPr>
        <w:tc>
          <w:tcPr>
            <w:tcW w:w="2520" w:type="dxa"/>
            <w:tcBorders>
              <w:bottom w:val="single" w:sz="4" w:space="0" w:color="auto"/>
            </w:tcBorders>
          </w:tcPr>
          <w:p w14:paraId="1139439A" w14:textId="77777777" w:rsidR="004304A2" w:rsidRPr="004304A2" w:rsidRDefault="004304A2" w:rsidP="004304A2">
            <w:pPr>
              <w:tabs>
                <w:tab w:val="left" w:pos="1140"/>
              </w:tabs>
              <w:spacing w:after="200" w:line="276" w:lineRule="auto"/>
              <w:rPr>
                <w:rFonts w:eastAsia="MS Mincho"/>
              </w:rPr>
            </w:pPr>
            <w:r w:rsidRPr="004304A2">
              <w:rPr>
                <w:rFonts w:eastAsia="MS Mincho"/>
              </w:rPr>
              <w:t>Grade Level</w:t>
            </w:r>
          </w:p>
        </w:tc>
        <w:tc>
          <w:tcPr>
            <w:tcW w:w="1710" w:type="dxa"/>
            <w:tcBorders>
              <w:bottom w:val="single" w:sz="4" w:space="0" w:color="auto"/>
            </w:tcBorders>
          </w:tcPr>
          <w:p w14:paraId="5CE32876" w14:textId="77777777" w:rsidR="004304A2" w:rsidRPr="004304A2" w:rsidRDefault="004304A2" w:rsidP="004304A2">
            <w:pPr>
              <w:tabs>
                <w:tab w:val="left" w:pos="1140"/>
              </w:tabs>
              <w:spacing w:after="200" w:line="276" w:lineRule="auto"/>
              <w:rPr>
                <w:rFonts w:eastAsia="MS Mincho"/>
              </w:rPr>
            </w:pPr>
            <w:r w:rsidRPr="004304A2">
              <w:rPr>
                <w:rFonts w:eastAsia="MS Mincho"/>
              </w:rPr>
              <w:t>Groups</w:t>
            </w:r>
          </w:p>
        </w:tc>
        <w:tc>
          <w:tcPr>
            <w:tcW w:w="900" w:type="dxa"/>
            <w:tcBorders>
              <w:bottom w:val="single" w:sz="4" w:space="0" w:color="auto"/>
            </w:tcBorders>
          </w:tcPr>
          <w:p w14:paraId="11941594" w14:textId="77777777" w:rsidR="004304A2" w:rsidRPr="004304A2" w:rsidRDefault="004304A2" w:rsidP="004304A2">
            <w:pPr>
              <w:tabs>
                <w:tab w:val="left" w:pos="1140"/>
              </w:tabs>
              <w:spacing w:after="200" w:line="276" w:lineRule="auto"/>
              <w:rPr>
                <w:rFonts w:eastAsia="MS Mincho"/>
              </w:rPr>
            </w:pPr>
            <w:r w:rsidRPr="004304A2">
              <w:rPr>
                <w:rFonts w:eastAsia="MS Mincho"/>
              </w:rPr>
              <w:t>Year</w:t>
            </w:r>
          </w:p>
        </w:tc>
        <w:tc>
          <w:tcPr>
            <w:tcW w:w="1260" w:type="dxa"/>
            <w:tcBorders>
              <w:bottom w:val="single" w:sz="4" w:space="0" w:color="auto"/>
            </w:tcBorders>
          </w:tcPr>
          <w:p w14:paraId="790C9904" w14:textId="77777777" w:rsidR="004304A2" w:rsidRPr="004304A2" w:rsidRDefault="004304A2" w:rsidP="004304A2">
            <w:pPr>
              <w:tabs>
                <w:tab w:val="left" w:pos="1140"/>
              </w:tabs>
              <w:spacing w:after="200" w:line="276" w:lineRule="auto"/>
              <w:rPr>
                <w:rFonts w:eastAsia="MS Mincho"/>
              </w:rPr>
            </w:pPr>
            <w:r w:rsidRPr="004304A2">
              <w:rPr>
                <w:rFonts w:eastAsia="MS Mincho"/>
              </w:rPr>
              <w:t xml:space="preserve">Fall Mean </w:t>
            </w:r>
          </w:p>
        </w:tc>
        <w:tc>
          <w:tcPr>
            <w:tcW w:w="1530" w:type="dxa"/>
            <w:tcBorders>
              <w:bottom w:val="single" w:sz="4" w:space="0" w:color="auto"/>
            </w:tcBorders>
          </w:tcPr>
          <w:p w14:paraId="73572EE1" w14:textId="77777777" w:rsidR="004304A2" w:rsidRPr="004304A2" w:rsidRDefault="004304A2" w:rsidP="004304A2">
            <w:pPr>
              <w:tabs>
                <w:tab w:val="left" w:pos="1140"/>
              </w:tabs>
              <w:spacing w:after="200" w:line="276" w:lineRule="auto"/>
              <w:rPr>
                <w:rFonts w:eastAsia="MS Mincho"/>
              </w:rPr>
            </w:pPr>
            <w:r w:rsidRPr="004304A2">
              <w:rPr>
                <w:rFonts w:eastAsia="MS Mincho"/>
              </w:rPr>
              <w:t xml:space="preserve">Winter Mean </w:t>
            </w:r>
          </w:p>
        </w:tc>
        <w:tc>
          <w:tcPr>
            <w:tcW w:w="1530" w:type="dxa"/>
            <w:tcBorders>
              <w:bottom w:val="single" w:sz="4" w:space="0" w:color="auto"/>
            </w:tcBorders>
          </w:tcPr>
          <w:p w14:paraId="72AE5476" w14:textId="77777777" w:rsidR="004304A2" w:rsidRPr="004304A2" w:rsidRDefault="004304A2" w:rsidP="004304A2">
            <w:pPr>
              <w:tabs>
                <w:tab w:val="left" w:pos="1140"/>
              </w:tabs>
              <w:spacing w:after="200" w:line="276" w:lineRule="auto"/>
              <w:rPr>
                <w:rFonts w:eastAsia="MS Mincho"/>
              </w:rPr>
            </w:pPr>
            <w:r w:rsidRPr="004304A2">
              <w:rPr>
                <w:rFonts w:eastAsia="MS Mincho"/>
              </w:rPr>
              <w:t>Spring Mean</w:t>
            </w:r>
          </w:p>
        </w:tc>
        <w:tc>
          <w:tcPr>
            <w:tcW w:w="1350" w:type="dxa"/>
            <w:tcBorders>
              <w:bottom w:val="single" w:sz="4" w:space="0" w:color="auto"/>
            </w:tcBorders>
          </w:tcPr>
          <w:p w14:paraId="24EB3445" w14:textId="77777777" w:rsidR="004304A2" w:rsidRPr="004304A2" w:rsidRDefault="004304A2" w:rsidP="004304A2">
            <w:pPr>
              <w:tabs>
                <w:tab w:val="left" w:pos="1140"/>
              </w:tabs>
              <w:spacing w:after="200" w:line="276" w:lineRule="auto"/>
              <w:rPr>
                <w:rFonts w:eastAsia="MS Mincho"/>
              </w:rPr>
            </w:pPr>
            <w:r w:rsidRPr="004304A2">
              <w:rPr>
                <w:rFonts w:eastAsia="MS Mincho"/>
              </w:rPr>
              <w:t>Fall SD</w:t>
            </w:r>
          </w:p>
        </w:tc>
        <w:tc>
          <w:tcPr>
            <w:tcW w:w="1440" w:type="dxa"/>
            <w:tcBorders>
              <w:bottom w:val="single" w:sz="4" w:space="0" w:color="auto"/>
            </w:tcBorders>
          </w:tcPr>
          <w:p w14:paraId="6E410937" w14:textId="77777777" w:rsidR="004304A2" w:rsidRPr="004304A2" w:rsidRDefault="004304A2" w:rsidP="004304A2">
            <w:pPr>
              <w:tabs>
                <w:tab w:val="left" w:pos="1140"/>
              </w:tabs>
              <w:spacing w:after="200" w:line="276" w:lineRule="auto"/>
              <w:rPr>
                <w:rFonts w:eastAsia="MS Mincho"/>
              </w:rPr>
            </w:pPr>
            <w:r w:rsidRPr="004304A2">
              <w:rPr>
                <w:rFonts w:eastAsia="MS Mincho"/>
              </w:rPr>
              <w:t>Winter SD</w:t>
            </w:r>
          </w:p>
        </w:tc>
        <w:tc>
          <w:tcPr>
            <w:tcW w:w="1440" w:type="dxa"/>
            <w:tcBorders>
              <w:bottom w:val="single" w:sz="4" w:space="0" w:color="auto"/>
            </w:tcBorders>
          </w:tcPr>
          <w:p w14:paraId="500B6E21" w14:textId="77777777" w:rsidR="004304A2" w:rsidRPr="004304A2" w:rsidRDefault="004304A2" w:rsidP="004304A2">
            <w:pPr>
              <w:tabs>
                <w:tab w:val="left" w:pos="1140"/>
              </w:tabs>
              <w:spacing w:after="200" w:line="276" w:lineRule="auto"/>
              <w:rPr>
                <w:rFonts w:eastAsia="MS Mincho"/>
              </w:rPr>
            </w:pPr>
            <w:r w:rsidRPr="004304A2">
              <w:rPr>
                <w:rFonts w:eastAsia="MS Mincho"/>
              </w:rPr>
              <w:t>Spring SD</w:t>
            </w:r>
          </w:p>
        </w:tc>
        <w:tc>
          <w:tcPr>
            <w:tcW w:w="1062" w:type="dxa"/>
            <w:tcBorders>
              <w:bottom w:val="single" w:sz="4" w:space="0" w:color="auto"/>
            </w:tcBorders>
          </w:tcPr>
          <w:p w14:paraId="618CB83C" w14:textId="77777777" w:rsidR="004304A2" w:rsidRPr="004304A2" w:rsidRDefault="004304A2" w:rsidP="004304A2">
            <w:pPr>
              <w:tabs>
                <w:tab w:val="left" w:pos="1140"/>
              </w:tabs>
              <w:spacing w:after="200" w:line="276" w:lineRule="auto"/>
              <w:rPr>
                <w:rFonts w:eastAsia="MS Mincho"/>
              </w:rPr>
            </w:pPr>
            <w:r w:rsidRPr="004304A2">
              <w:rPr>
                <w:rFonts w:eastAsia="MS Mincho"/>
              </w:rPr>
              <w:t>n</w:t>
            </w:r>
          </w:p>
        </w:tc>
      </w:tr>
      <w:tr w:rsidR="004304A2" w:rsidRPr="004304A2" w14:paraId="1648EB6F" w14:textId="77777777" w:rsidTr="00C93D65">
        <w:tc>
          <w:tcPr>
            <w:tcW w:w="2520" w:type="dxa"/>
            <w:vMerge w:val="restart"/>
            <w:tcBorders>
              <w:top w:val="single" w:sz="4" w:space="0" w:color="auto"/>
            </w:tcBorders>
          </w:tcPr>
          <w:p w14:paraId="76694E52" w14:textId="77777777" w:rsidR="004304A2" w:rsidRPr="004304A2" w:rsidRDefault="004304A2" w:rsidP="004304A2">
            <w:pPr>
              <w:tabs>
                <w:tab w:val="left" w:pos="1140"/>
              </w:tabs>
              <w:spacing w:after="200" w:line="276" w:lineRule="auto"/>
              <w:rPr>
                <w:rFonts w:eastAsia="MS Mincho"/>
              </w:rPr>
            </w:pPr>
            <w:r w:rsidRPr="004304A2">
              <w:rPr>
                <w:rFonts w:eastAsia="MS Mincho"/>
              </w:rPr>
              <w:t xml:space="preserve">Kindergarten Math </w:t>
            </w:r>
          </w:p>
        </w:tc>
        <w:tc>
          <w:tcPr>
            <w:tcW w:w="1710" w:type="dxa"/>
            <w:tcBorders>
              <w:top w:val="single" w:sz="4" w:space="0" w:color="auto"/>
              <w:bottom w:val="nil"/>
            </w:tcBorders>
          </w:tcPr>
          <w:p w14:paraId="40EE8ADD" w14:textId="77777777" w:rsidR="004304A2" w:rsidRPr="004304A2" w:rsidRDefault="004304A2" w:rsidP="004304A2">
            <w:pPr>
              <w:tabs>
                <w:tab w:val="left" w:pos="1140"/>
              </w:tabs>
              <w:spacing w:after="200" w:line="276" w:lineRule="auto"/>
              <w:rPr>
                <w:rFonts w:eastAsia="MS Mincho"/>
              </w:rPr>
            </w:pPr>
            <w:r w:rsidRPr="004304A2">
              <w:rPr>
                <w:rFonts w:eastAsia="MS Mincho"/>
              </w:rPr>
              <w:t xml:space="preserve">Comparison </w:t>
            </w:r>
          </w:p>
        </w:tc>
        <w:tc>
          <w:tcPr>
            <w:tcW w:w="900" w:type="dxa"/>
            <w:tcBorders>
              <w:top w:val="single" w:sz="4" w:space="0" w:color="auto"/>
              <w:bottom w:val="nil"/>
            </w:tcBorders>
          </w:tcPr>
          <w:p w14:paraId="1A52097E" w14:textId="77777777" w:rsidR="004304A2" w:rsidRPr="004304A2" w:rsidRDefault="004304A2" w:rsidP="004304A2">
            <w:pPr>
              <w:tabs>
                <w:tab w:val="left" w:pos="1140"/>
              </w:tabs>
              <w:spacing w:after="200" w:line="276" w:lineRule="auto"/>
              <w:rPr>
                <w:rFonts w:eastAsia="MS Mincho"/>
              </w:rPr>
            </w:pPr>
            <w:r w:rsidRPr="004304A2">
              <w:rPr>
                <w:rFonts w:eastAsia="MS Mincho"/>
              </w:rPr>
              <w:t>2015</w:t>
            </w:r>
          </w:p>
        </w:tc>
        <w:tc>
          <w:tcPr>
            <w:tcW w:w="1260" w:type="dxa"/>
            <w:tcBorders>
              <w:top w:val="single" w:sz="4" w:space="0" w:color="auto"/>
              <w:bottom w:val="nil"/>
            </w:tcBorders>
          </w:tcPr>
          <w:p w14:paraId="5842EC02" w14:textId="77777777" w:rsidR="004304A2" w:rsidRPr="004304A2" w:rsidRDefault="004304A2" w:rsidP="004304A2">
            <w:pPr>
              <w:tabs>
                <w:tab w:val="left" w:pos="1140"/>
              </w:tabs>
              <w:spacing w:after="200" w:line="276" w:lineRule="auto"/>
              <w:rPr>
                <w:rFonts w:eastAsia="MS Mincho"/>
              </w:rPr>
            </w:pPr>
            <w:r w:rsidRPr="004304A2">
              <w:rPr>
                <w:rFonts w:eastAsia="MS Mincho"/>
              </w:rPr>
              <w:t>138.5</w:t>
            </w:r>
          </w:p>
        </w:tc>
        <w:tc>
          <w:tcPr>
            <w:tcW w:w="1530" w:type="dxa"/>
            <w:tcBorders>
              <w:top w:val="single" w:sz="4" w:space="0" w:color="auto"/>
              <w:bottom w:val="nil"/>
            </w:tcBorders>
          </w:tcPr>
          <w:p w14:paraId="1A64DC46" w14:textId="77777777" w:rsidR="004304A2" w:rsidRPr="004304A2" w:rsidRDefault="004304A2" w:rsidP="004304A2">
            <w:pPr>
              <w:tabs>
                <w:tab w:val="left" w:pos="1140"/>
              </w:tabs>
              <w:spacing w:after="200" w:line="276" w:lineRule="auto"/>
              <w:rPr>
                <w:rFonts w:eastAsia="MS Mincho"/>
              </w:rPr>
            </w:pPr>
            <w:r w:rsidRPr="004304A2">
              <w:rPr>
                <w:rFonts w:eastAsia="MS Mincho"/>
              </w:rPr>
              <w:t>148.69</w:t>
            </w:r>
          </w:p>
        </w:tc>
        <w:tc>
          <w:tcPr>
            <w:tcW w:w="1530" w:type="dxa"/>
            <w:tcBorders>
              <w:top w:val="single" w:sz="4" w:space="0" w:color="auto"/>
              <w:bottom w:val="nil"/>
            </w:tcBorders>
          </w:tcPr>
          <w:p w14:paraId="2A633136" w14:textId="77777777" w:rsidR="004304A2" w:rsidRPr="004304A2" w:rsidRDefault="004304A2" w:rsidP="004304A2">
            <w:pPr>
              <w:tabs>
                <w:tab w:val="left" w:pos="1140"/>
              </w:tabs>
              <w:spacing w:after="200" w:line="276" w:lineRule="auto"/>
              <w:rPr>
                <w:rFonts w:eastAsia="MS Mincho"/>
              </w:rPr>
            </w:pPr>
            <w:r w:rsidRPr="004304A2">
              <w:rPr>
                <w:rFonts w:eastAsia="MS Mincho"/>
              </w:rPr>
              <w:t>*</w:t>
            </w:r>
          </w:p>
        </w:tc>
        <w:tc>
          <w:tcPr>
            <w:tcW w:w="1350" w:type="dxa"/>
            <w:tcBorders>
              <w:top w:val="single" w:sz="4" w:space="0" w:color="auto"/>
              <w:bottom w:val="nil"/>
            </w:tcBorders>
          </w:tcPr>
          <w:p w14:paraId="3A63BEE8" w14:textId="77777777" w:rsidR="004304A2" w:rsidRPr="004304A2" w:rsidRDefault="004304A2" w:rsidP="004304A2">
            <w:pPr>
              <w:tabs>
                <w:tab w:val="left" w:pos="1140"/>
              </w:tabs>
              <w:spacing w:after="200" w:line="276" w:lineRule="auto"/>
              <w:rPr>
                <w:rFonts w:eastAsia="MS Mincho"/>
              </w:rPr>
            </w:pPr>
            <w:r w:rsidRPr="004304A2">
              <w:rPr>
                <w:rFonts w:eastAsia="MS Mincho"/>
              </w:rPr>
              <w:t>11.9</w:t>
            </w:r>
          </w:p>
        </w:tc>
        <w:tc>
          <w:tcPr>
            <w:tcW w:w="1440" w:type="dxa"/>
            <w:tcBorders>
              <w:top w:val="single" w:sz="4" w:space="0" w:color="auto"/>
              <w:bottom w:val="nil"/>
            </w:tcBorders>
          </w:tcPr>
          <w:p w14:paraId="1F9F9F67" w14:textId="77777777" w:rsidR="004304A2" w:rsidRPr="004304A2" w:rsidRDefault="004304A2" w:rsidP="004304A2">
            <w:pPr>
              <w:tabs>
                <w:tab w:val="left" w:pos="1140"/>
              </w:tabs>
              <w:spacing w:after="200" w:line="276" w:lineRule="auto"/>
              <w:rPr>
                <w:rFonts w:eastAsia="MS Mincho"/>
              </w:rPr>
            </w:pPr>
            <w:r w:rsidRPr="004304A2">
              <w:rPr>
                <w:rFonts w:eastAsia="MS Mincho"/>
              </w:rPr>
              <w:t>13.34</w:t>
            </w:r>
          </w:p>
        </w:tc>
        <w:tc>
          <w:tcPr>
            <w:tcW w:w="1440" w:type="dxa"/>
            <w:tcBorders>
              <w:top w:val="single" w:sz="4" w:space="0" w:color="auto"/>
              <w:bottom w:val="nil"/>
            </w:tcBorders>
          </w:tcPr>
          <w:p w14:paraId="49B2F315" w14:textId="77777777" w:rsidR="004304A2" w:rsidRPr="004304A2" w:rsidRDefault="004304A2" w:rsidP="004304A2">
            <w:pPr>
              <w:tabs>
                <w:tab w:val="left" w:pos="1140"/>
              </w:tabs>
              <w:spacing w:after="200" w:line="276" w:lineRule="auto"/>
              <w:rPr>
                <w:rFonts w:eastAsia="MS Mincho"/>
              </w:rPr>
            </w:pPr>
            <w:r w:rsidRPr="004304A2">
              <w:rPr>
                <w:rFonts w:eastAsia="MS Mincho"/>
              </w:rPr>
              <w:t>*</w:t>
            </w:r>
          </w:p>
        </w:tc>
        <w:tc>
          <w:tcPr>
            <w:tcW w:w="1062" w:type="dxa"/>
            <w:tcBorders>
              <w:top w:val="single" w:sz="4" w:space="0" w:color="auto"/>
              <w:bottom w:val="nil"/>
            </w:tcBorders>
          </w:tcPr>
          <w:p w14:paraId="71243D19" w14:textId="77777777" w:rsidR="004304A2" w:rsidRPr="004304A2" w:rsidRDefault="004304A2" w:rsidP="004304A2">
            <w:pPr>
              <w:tabs>
                <w:tab w:val="left" w:pos="1140"/>
              </w:tabs>
              <w:spacing w:after="200" w:line="276" w:lineRule="auto"/>
              <w:rPr>
                <w:rFonts w:eastAsia="MS Mincho"/>
              </w:rPr>
            </w:pPr>
            <w:r w:rsidRPr="004304A2">
              <w:rPr>
                <w:rFonts w:eastAsia="MS Mincho"/>
              </w:rPr>
              <w:t>80</w:t>
            </w:r>
          </w:p>
        </w:tc>
      </w:tr>
      <w:tr w:rsidR="004304A2" w:rsidRPr="004304A2" w14:paraId="5A1C1E28" w14:textId="77777777" w:rsidTr="00C93D65">
        <w:trPr>
          <w:trHeight w:val="378"/>
        </w:trPr>
        <w:tc>
          <w:tcPr>
            <w:tcW w:w="2520" w:type="dxa"/>
            <w:vMerge/>
          </w:tcPr>
          <w:p w14:paraId="067CC4D7" w14:textId="77777777" w:rsidR="004304A2" w:rsidRPr="004304A2" w:rsidRDefault="004304A2" w:rsidP="004304A2">
            <w:pPr>
              <w:tabs>
                <w:tab w:val="left" w:pos="1140"/>
              </w:tabs>
              <w:spacing w:after="200" w:line="276" w:lineRule="auto"/>
              <w:rPr>
                <w:rFonts w:eastAsia="MS Mincho"/>
              </w:rPr>
            </w:pPr>
          </w:p>
        </w:tc>
        <w:tc>
          <w:tcPr>
            <w:tcW w:w="1710" w:type="dxa"/>
            <w:tcBorders>
              <w:top w:val="nil"/>
            </w:tcBorders>
          </w:tcPr>
          <w:p w14:paraId="7B981277" w14:textId="77777777" w:rsidR="004304A2" w:rsidRPr="004304A2" w:rsidRDefault="004304A2" w:rsidP="004304A2">
            <w:pPr>
              <w:tabs>
                <w:tab w:val="left" w:pos="1140"/>
              </w:tabs>
              <w:spacing w:after="200" w:line="276" w:lineRule="auto"/>
              <w:rPr>
                <w:rFonts w:eastAsia="MS Mincho"/>
              </w:rPr>
            </w:pPr>
            <w:r w:rsidRPr="004304A2">
              <w:rPr>
                <w:rFonts w:eastAsia="MS Mincho"/>
              </w:rPr>
              <w:t xml:space="preserve">Treatment </w:t>
            </w:r>
          </w:p>
        </w:tc>
        <w:tc>
          <w:tcPr>
            <w:tcW w:w="900" w:type="dxa"/>
            <w:tcBorders>
              <w:top w:val="nil"/>
            </w:tcBorders>
          </w:tcPr>
          <w:p w14:paraId="14095F70" w14:textId="77777777" w:rsidR="004304A2" w:rsidRPr="004304A2" w:rsidRDefault="004304A2" w:rsidP="004304A2">
            <w:pPr>
              <w:tabs>
                <w:tab w:val="left" w:pos="1140"/>
              </w:tabs>
              <w:spacing w:after="200" w:line="276" w:lineRule="auto"/>
              <w:rPr>
                <w:rFonts w:eastAsia="MS Mincho"/>
              </w:rPr>
            </w:pPr>
            <w:r w:rsidRPr="004304A2">
              <w:rPr>
                <w:rFonts w:eastAsia="MS Mincho"/>
              </w:rPr>
              <w:t>2017</w:t>
            </w:r>
          </w:p>
        </w:tc>
        <w:tc>
          <w:tcPr>
            <w:tcW w:w="1260" w:type="dxa"/>
            <w:tcBorders>
              <w:top w:val="nil"/>
            </w:tcBorders>
          </w:tcPr>
          <w:p w14:paraId="469EF712" w14:textId="77777777" w:rsidR="004304A2" w:rsidRPr="004304A2" w:rsidRDefault="004304A2" w:rsidP="004304A2">
            <w:pPr>
              <w:tabs>
                <w:tab w:val="left" w:pos="1140"/>
              </w:tabs>
              <w:spacing w:after="200" w:line="276" w:lineRule="auto"/>
              <w:rPr>
                <w:rFonts w:eastAsia="MS Mincho"/>
              </w:rPr>
            </w:pPr>
            <w:r w:rsidRPr="004304A2">
              <w:rPr>
                <w:rFonts w:eastAsia="MS Mincho"/>
              </w:rPr>
              <w:t>136.41</w:t>
            </w:r>
          </w:p>
        </w:tc>
        <w:tc>
          <w:tcPr>
            <w:tcW w:w="1530" w:type="dxa"/>
            <w:tcBorders>
              <w:top w:val="nil"/>
            </w:tcBorders>
          </w:tcPr>
          <w:p w14:paraId="5B794DE5" w14:textId="77777777" w:rsidR="004304A2" w:rsidRPr="004304A2" w:rsidRDefault="004304A2" w:rsidP="004304A2">
            <w:pPr>
              <w:tabs>
                <w:tab w:val="left" w:pos="1140"/>
              </w:tabs>
              <w:spacing w:after="200" w:line="276" w:lineRule="auto"/>
              <w:rPr>
                <w:rFonts w:eastAsia="MS Mincho"/>
              </w:rPr>
            </w:pPr>
            <w:r w:rsidRPr="004304A2">
              <w:rPr>
                <w:rFonts w:eastAsia="MS Mincho"/>
              </w:rPr>
              <w:t>145.51</w:t>
            </w:r>
          </w:p>
        </w:tc>
        <w:tc>
          <w:tcPr>
            <w:tcW w:w="1530" w:type="dxa"/>
            <w:tcBorders>
              <w:top w:val="nil"/>
            </w:tcBorders>
          </w:tcPr>
          <w:p w14:paraId="57AE3AA8" w14:textId="77777777" w:rsidR="004304A2" w:rsidRPr="004304A2" w:rsidRDefault="004304A2" w:rsidP="004304A2">
            <w:pPr>
              <w:tabs>
                <w:tab w:val="left" w:pos="1140"/>
              </w:tabs>
              <w:spacing w:after="200" w:line="276" w:lineRule="auto"/>
              <w:rPr>
                <w:rFonts w:eastAsia="MS Mincho"/>
              </w:rPr>
            </w:pPr>
            <w:r w:rsidRPr="004304A2">
              <w:rPr>
                <w:rFonts w:eastAsia="MS Mincho"/>
              </w:rPr>
              <w:t>*</w:t>
            </w:r>
          </w:p>
        </w:tc>
        <w:tc>
          <w:tcPr>
            <w:tcW w:w="1350" w:type="dxa"/>
            <w:tcBorders>
              <w:top w:val="nil"/>
            </w:tcBorders>
          </w:tcPr>
          <w:p w14:paraId="520D3185" w14:textId="77777777" w:rsidR="004304A2" w:rsidRPr="004304A2" w:rsidRDefault="004304A2" w:rsidP="004304A2">
            <w:pPr>
              <w:tabs>
                <w:tab w:val="left" w:pos="1140"/>
              </w:tabs>
              <w:spacing w:after="200" w:line="276" w:lineRule="auto"/>
              <w:rPr>
                <w:rFonts w:eastAsia="MS Mincho"/>
              </w:rPr>
            </w:pPr>
            <w:r w:rsidRPr="004304A2">
              <w:rPr>
                <w:rFonts w:eastAsia="MS Mincho"/>
              </w:rPr>
              <w:t>10.09</w:t>
            </w:r>
          </w:p>
        </w:tc>
        <w:tc>
          <w:tcPr>
            <w:tcW w:w="1440" w:type="dxa"/>
            <w:tcBorders>
              <w:top w:val="nil"/>
            </w:tcBorders>
          </w:tcPr>
          <w:p w14:paraId="5F31AA22" w14:textId="77777777" w:rsidR="004304A2" w:rsidRPr="004304A2" w:rsidRDefault="004304A2" w:rsidP="004304A2">
            <w:pPr>
              <w:tabs>
                <w:tab w:val="left" w:pos="1140"/>
              </w:tabs>
              <w:spacing w:after="200" w:line="276" w:lineRule="auto"/>
              <w:rPr>
                <w:rFonts w:eastAsia="MS Mincho"/>
              </w:rPr>
            </w:pPr>
            <w:r w:rsidRPr="004304A2">
              <w:rPr>
                <w:rFonts w:eastAsia="MS Mincho"/>
              </w:rPr>
              <w:t>13.23</w:t>
            </w:r>
          </w:p>
        </w:tc>
        <w:tc>
          <w:tcPr>
            <w:tcW w:w="1440" w:type="dxa"/>
            <w:tcBorders>
              <w:top w:val="nil"/>
            </w:tcBorders>
          </w:tcPr>
          <w:p w14:paraId="0F58CCFF" w14:textId="77777777" w:rsidR="004304A2" w:rsidRPr="004304A2" w:rsidRDefault="004304A2" w:rsidP="004304A2">
            <w:pPr>
              <w:tabs>
                <w:tab w:val="left" w:pos="1140"/>
              </w:tabs>
              <w:spacing w:after="200" w:line="276" w:lineRule="auto"/>
              <w:rPr>
                <w:rFonts w:eastAsia="MS Mincho"/>
              </w:rPr>
            </w:pPr>
            <w:r w:rsidRPr="004304A2">
              <w:rPr>
                <w:rFonts w:eastAsia="MS Mincho"/>
              </w:rPr>
              <w:t>*</w:t>
            </w:r>
          </w:p>
        </w:tc>
        <w:tc>
          <w:tcPr>
            <w:tcW w:w="1062" w:type="dxa"/>
            <w:tcBorders>
              <w:top w:val="nil"/>
            </w:tcBorders>
          </w:tcPr>
          <w:p w14:paraId="5CBD02AA" w14:textId="77777777" w:rsidR="004304A2" w:rsidRPr="004304A2" w:rsidRDefault="004304A2" w:rsidP="004304A2">
            <w:pPr>
              <w:tabs>
                <w:tab w:val="left" w:pos="1140"/>
              </w:tabs>
              <w:spacing w:after="200" w:line="276" w:lineRule="auto"/>
              <w:rPr>
                <w:rFonts w:eastAsia="MS Mincho"/>
              </w:rPr>
            </w:pPr>
            <w:r w:rsidRPr="004304A2">
              <w:rPr>
                <w:rFonts w:eastAsia="MS Mincho"/>
              </w:rPr>
              <w:t>39</w:t>
            </w:r>
          </w:p>
        </w:tc>
      </w:tr>
      <w:tr w:rsidR="004304A2" w:rsidRPr="004304A2" w14:paraId="1861BD3E" w14:textId="77777777" w:rsidTr="00C93D65">
        <w:tc>
          <w:tcPr>
            <w:tcW w:w="2520" w:type="dxa"/>
            <w:vMerge w:val="restart"/>
          </w:tcPr>
          <w:p w14:paraId="03BDBBAD" w14:textId="77777777" w:rsidR="004304A2" w:rsidRPr="004304A2" w:rsidRDefault="004304A2" w:rsidP="004304A2">
            <w:pPr>
              <w:tabs>
                <w:tab w:val="left" w:pos="1140"/>
              </w:tabs>
              <w:spacing w:after="200" w:line="276" w:lineRule="auto"/>
              <w:rPr>
                <w:rFonts w:eastAsia="MS Mincho"/>
              </w:rPr>
            </w:pPr>
            <w:r w:rsidRPr="004304A2">
              <w:rPr>
                <w:rFonts w:eastAsia="MS Mincho"/>
              </w:rPr>
              <w:t xml:space="preserve">Kindergarten Reading </w:t>
            </w:r>
          </w:p>
        </w:tc>
        <w:tc>
          <w:tcPr>
            <w:tcW w:w="1710" w:type="dxa"/>
          </w:tcPr>
          <w:p w14:paraId="20D598D7" w14:textId="77777777" w:rsidR="004304A2" w:rsidRPr="004304A2" w:rsidRDefault="004304A2" w:rsidP="004304A2">
            <w:pPr>
              <w:tabs>
                <w:tab w:val="left" w:pos="1140"/>
              </w:tabs>
              <w:spacing w:after="200" w:line="276" w:lineRule="auto"/>
              <w:rPr>
                <w:rFonts w:eastAsia="MS Mincho"/>
              </w:rPr>
            </w:pPr>
            <w:r w:rsidRPr="004304A2">
              <w:rPr>
                <w:rFonts w:eastAsia="MS Mincho"/>
              </w:rPr>
              <w:t>Comparison</w:t>
            </w:r>
          </w:p>
        </w:tc>
        <w:tc>
          <w:tcPr>
            <w:tcW w:w="900" w:type="dxa"/>
          </w:tcPr>
          <w:p w14:paraId="3D554466" w14:textId="77777777" w:rsidR="004304A2" w:rsidRPr="004304A2" w:rsidRDefault="004304A2" w:rsidP="004304A2">
            <w:pPr>
              <w:tabs>
                <w:tab w:val="left" w:pos="1140"/>
              </w:tabs>
              <w:spacing w:after="200" w:line="276" w:lineRule="auto"/>
              <w:rPr>
                <w:rFonts w:eastAsia="MS Mincho"/>
              </w:rPr>
            </w:pPr>
            <w:r w:rsidRPr="004304A2">
              <w:rPr>
                <w:rFonts w:eastAsia="MS Mincho"/>
              </w:rPr>
              <w:t>2015</w:t>
            </w:r>
          </w:p>
        </w:tc>
        <w:tc>
          <w:tcPr>
            <w:tcW w:w="1260" w:type="dxa"/>
          </w:tcPr>
          <w:p w14:paraId="0B2DE429" w14:textId="77777777" w:rsidR="004304A2" w:rsidRPr="004304A2" w:rsidRDefault="004304A2" w:rsidP="004304A2">
            <w:pPr>
              <w:tabs>
                <w:tab w:val="left" w:pos="1140"/>
              </w:tabs>
              <w:spacing w:after="200" w:line="276" w:lineRule="auto"/>
              <w:rPr>
                <w:rFonts w:eastAsia="MS Mincho"/>
              </w:rPr>
            </w:pPr>
            <w:r w:rsidRPr="004304A2">
              <w:rPr>
                <w:rFonts w:eastAsia="MS Mincho"/>
              </w:rPr>
              <w:t>140.58</w:t>
            </w:r>
          </w:p>
        </w:tc>
        <w:tc>
          <w:tcPr>
            <w:tcW w:w="1530" w:type="dxa"/>
          </w:tcPr>
          <w:p w14:paraId="7A96A9F8" w14:textId="77777777" w:rsidR="004304A2" w:rsidRPr="004304A2" w:rsidRDefault="004304A2" w:rsidP="004304A2">
            <w:pPr>
              <w:tabs>
                <w:tab w:val="left" w:pos="1140"/>
              </w:tabs>
              <w:spacing w:after="200" w:line="276" w:lineRule="auto"/>
              <w:rPr>
                <w:rFonts w:eastAsia="MS Mincho"/>
              </w:rPr>
            </w:pPr>
            <w:r w:rsidRPr="004304A2">
              <w:rPr>
                <w:rFonts w:eastAsia="MS Mincho"/>
              </w:rPr>
              <w:t>147.83</w:t>
            </w:r>
          </w:p>
        </w:tc>
        <w:tc>
          <w:tcPr>
            <w:tcW w:w="1530" w:type="dxa"/>
          </w:tcPr>
          <w:p w14:paraId="01038E53" w14:textId="77777777" w:rsidR="004304A2" w:rsidRPr="004304A2" w:rsidRDefault="004304A2" w:rsidP="004304A2">
            <w:pPr>
              <w:tabs>
                <w:tab w:val="left" w:pos="1140"/>
              </w:tabs>
              <w:spacing w:after="200" w:line="276" w:lineRule="auto"/>
              <w:rPr>
                <w:rFonts w:eastAsia="MS Mincho"/>
              </w:rPr>
            </w:pPr>
            <w:r w:rsidRPr="004304A2">
              <w:rPr>
                <w:rFonts w:eastAsia="MS Mincho"/>
              </w:rPr>
              <w:t>*</w:t>
            </w:r>
          </w:p>
        </w:tc>
        <w:tc>
          <w:tcPr>
            <w:tcW w:w="1350" w:type="dxa"/>
          </w:tcPr>
          <w:p w14:paraId="0077CA1E" w14:textId="77777777" w:rsidR="004304A2" w:rsidRPr="004304A2" w:rsidRDefault="004304A2" w:rsidP="004304A2">
            <w:pPr>
              <w:tabs>
                <w:tab w:val="left" w:pos="1140"/>
              </w:tabs>
              <w:spacing w:after="200" w:line="276" w:lineRule="auto"/>
              <w:rPr>
                <w:rFonts w:eastAsia="MS Mincho"/>
              </w:rPr>
            </w:pPr>
            <w:r w:rsidRPr="004304A2">
              <w:rPr>
                <w:rFonts w:eastAsia="MS Mincho"/>
              </w:rPr>
              <w:t>10.03</w:t>
            </w:r>
          </w:p>
        </w:tc>
        <w:tc>
          <w:tcPr>
            <w:tcW w:w="1440" w:type="dxa"/>
          </w:tcPr>
          <w:p w14:paraId="0E918AB7" w14:textId="77777777" w:rsidR="004304A2" w:rsidRPr="004304A2" w:rsidRDefault="004304A2" w:rsidP="004304A2">
            <w:pPr>
              <w:tabs>
                <w:tab w:val="left" w:pos="1140"/>
              </w:tabs>
              <w:spacing w:after="200" w:line="276" w:lineRule="auto"/>
              <w:rPr>
                <w:rFonts w:eastAsia="MS Mincho"/>
              </w:rPr>
            </w:pPr>
            <w:r w:rsidRPr="004304A2">
              <w:rPr>
                <w:rFonts w:eastAsia="MS Mincho"/>
              </w:rPr>
              <w:t>10.92</w:t>
            </w:r>
          </w:p>
        </w:tc>
        <w:tc>
          <w:tcPr>
            <w:tcW w:w="1440" w:type="dxa"/>
          </w:tcPr>
          <w:p w14:paraId="008334BC" w14:textId="77777777" w:rsidR="004304A2" w:rsidRPr="004304A2" w:rsidRDefault="004304A2" w:rsidP="004304A2">
            <w:pPr>
              <w:tabs>
                <w:tab w:val="left" w:pos="1140"/>
              </w:tabs>
              <w:spacing w:after="200" w:line="276" w:lineRule="auto"/>
              <w:rPr>
                <w:rFonts w:eastAsia="MS Mincho"/>
              </w:rPr>
            </w:pPr>
            <w:r w:rsidRPr="004304A2">
              <w:rPr>
                <w:rFonts w:eastAsia="MS Mincho"/>
              </w:rPr>
              <w:t>*</w:t>
            </w:r>
          </w:p>
        </w:tc>
        <w:tc>
          <w:tcPr>
            <w:tcW w:w="1062" w:type="dxa"/>
          </w:tcPr>
          <w:p w14:paraId="448AB580" w14:textId="77777777" w:rsidR="004304A2" w:rsidRPr="004304A2" w:rsidRDefault="004304A2" w:rsidP="004304A2">
            <w:pPr>
              <w:tabs>
                <w:tab w:val="left" w:pos="1140"/>
              </w:tabs>
              <w:spacing w:after="200" w:line="276" w:lineRule="auto"/>
              <w:rPr>
                <w:rFonts w:eastAsia="MS Mincho"/>
              </w:rPr>
            </w:pPr>
            <w:r w:rsidRPr="004304A2">
              <w:rPr>
                <w:rFonts w:eastAsia="MS Mincho"/>
              </w:rPr>
              <w:t>80</w:t>
            </w:r>
          </w:p>
        </w:tc>
      </w:tr>
      <w:tr w:rsidR="004304A2" w:rsidRPr="004304A2" w14:paraId="1759694D" w14:textId="77777777" w:rsidTr="00C93D65">
        <w:tc>
          <w:tcPr>
            <w:tcW w:w="2520" w:type="dxa"/>
            <w:vMerge/>
          </w:tcPr>
          <w:p w14:paraId="78A5B0A9" w14:textId="77777777" w:rsidR="004304A2" w:rsidRPr="004304A2" w:rsidRDefault="004304A2" w:rsidP="004304A2">
            <w:pPr>
              <w:tabs>
                <w:tab w:val="left" w:pos="1140"/>
              </w:tabs>
              <w:spacing w:after="200" w:line="276" w:lineRule="auto"/>
              <w:rPr>
                <w:rFonts w:eastAsia="MS Mincho"/>
              </w:rPr>
            </w:pPr>
          </w:p>
        </w:tc>
        <w:tc>
          <w:tcPr>
            <w:tcW w:w="1710" w:type="dxa"/>
          </w:tcPr>
          <w:p w14:paraId="07774BFE" w14:textId="77777777" w:rsidR="004304A2" w:rsidRPr="004304A2" w:rsidRDefault="004304A2" w:rsidP="004304A2">
            <w:pPr>
              <w:tabs>
                <w:tab w:val="left" w:pos="1140"/>
              </w:tabs>
              <w:spacing w:after="200" w:line="276" w:lineRule="auto"/>
              <w:rPr>
                <w:rFonts w:eastAsia="MS Mincho"/>
              </w:rPr>
            </w:pPr>
            <w:r w:rsidRPr="004304A2">
              <w:rPr>
                <w:rFonts w:eastAsia="MS Mincho"/>
              </w:rPr>
              <w:t>Treatment</w:t>
            </w:r>
          </w:p>
        </w:tc>
        <w:tc>
          <w:tcPr>
            <w:tcW w:w="900" w:type="dxa"/>
          </w:tcPr>
          <w:p w14:paraId="06AB07D9" w14:textId="77777777" w:rsidR="004304A2" w:rsidRPr="004304A2" w:rsidRDefault="004304A2" w:rsidP="004304A2">
            <w:pPr>
              <w:tabs>
                <w:tab w:val="left" w:pos="1140"/>
              </w:tabs>
              <w:spacing w:after="200" w:line="276" w:lineRule="auto"/>
              <w:rPr>
                <w:rFonts w:eastAsia="MS Mincho"/>
              </w:rPr>
            </w:pPr>
            <w:r w:rsidRPr="004304A2">
              <w:rPr>
                <w:rFonts w:eastAsia="MS Mincho"/>
              </w:rPr>
              <w:t>2017</w:t>
            </w:r>
          </w:p>
        </w:tc>
        <w:tc>
          <w:tcPr>
            <w:tcW w:w="1260" w:type="dxa"/>
          </w:tcPr>
          <w:p w14:paraId="6A58C8A0" w14:textId="77777777" w:rsidR="004304A2" w:rsidRPr="004304A2" w:rsidRDefault="004304A2" w:rsidP="004304A2">
            <w:pPr>
              <w:tabs>
                <w:tab w:val="left" w:pos="1140"/>
              </w:tabs>
              <w:spacing w:after="200" w:line="276" w:lineRule="auto"/>
              <w:rPr>
                <w:rFonts w:eastAsia="MS Mincho"/>
              </w:rPr>
            </w:pPr>
            <w:r w:rsidRPr="004304A2">
              <w:rPr>
                <w:rFonts w:eastAsia="MS Mincho"/>
              </w:rPr>
              <w:t>139.08</w:t>
            </w:r>
          </w:p>
        </w:tc>
        <w:tc>
          <w:tcPr>
            <w:tcW w:w="1530" w:type="dxa"/>
          </w:tcPr>
          <w:p w14:paraId="6B159630" w14:textId="77777777" w:rsidR="004304A2" w:rsidRPr="004304A2" w:rsidRDefault="004304A2" w:rsidP="004304A2">
            <w:pPr>
              <w:tabs>
                <w:tab w:val="left" w:pos="1140"/>
              </w:tabs>
              <w:spacing w:after="200" w:line="276" w:lineRule="auto"/>
              <w:rPr>
                <w:rFonts w:eastAsia="MS Mincho"/>
              </w:rPr>
            </w:pPr>
            <w:r w:rsidRPr="004304A2">
              <w:rPr>
                <w:rFonts w:eastAsia="MS Mincho"/>
              </w:rPr>
              <w:t>146.92</w:t>
            </w:r>
          </w:p>
        </w:tc>
        <w:tc>
          <w:tcPr>
            <w:tcW w:w="1530" w:type="dxa"/>
          </w:tcPr>
          <w:p w14:paraId="362F9724" w14:textId="77777777" w:rsidR="004304A2" w:rsidRPr="004304A2" w:rsidRDefault="004304A2" w:rsidP="004304A2">
            <w:pPr>
              <w:tabs>
                <w:tab w:val="left" w:pos="1140"/>
              </w:tabs>
              <w:spacing w:after="200" w:line="276" w:lineRule="auto"/>
              <w:rPr>
                <w:rFonts w:eastAsia="MS Mincho"/>
              </w:rPr>
            </w:pPr>
            <w:r w:rsidRPr="004304A2">
              <w:rPr>
                <w:rFonts w:eastAsia="MS Mincho"/>
              </w:rPr>
              <w:t>*</w:t>
            </w:r>
          </w:p>
        </w:tc>
        <w:tc>
          <w:tcPr>
            <w:tcW w:w="1350" w:type="dxa"/>
          </w:tcPr>
          <w:p w14:paraId="5AC6028A" w14:textId="77777777" w:rsidR="004304A2" w:rsidRPr="004304A2" w:rsidRDefault="004304A2" w:rsidP="004304A2">
            <w:pPr>
              <w:tabs>
                <w:tab w:val="left" w:pos="1140"/>
              </w:tabs>
              <w:spacing w:after="200" w:line="276" w:lineRule="auto"/>
              <w:rPr>
                <w:rFonts w:eastAsia="MS Mincho"/>
              </w:rPr>
            </w:pPr>
            <w:r w:rsidRPr="004304A2">
              <w:rPr>
                <w:rFonts w:eastAsia="MS Mincho"/>
              </w:rPr>
              <w:t>7.38</w:t>
            </w:r>
          </w:p>
        </w:tc>
        <w:tc>
          <w:tcPr>
            <w:tcW w:w="1440" w:type="dxa"/>
          </w:tcPr>
          <w:p w14:paraId="795C4664" w14:textId="77777777" w:rsidR="004304A2" w:rsidRPr="004304A2" w:rsidRDefault="004304A2" w:rsidP="004304A2">
            <w:pPr>
              <w:tabs>
                <w:tab w:val="left" w:pos="1140"/>
              </w:tabs>
              <w:spacing w:after="200" w:line="276" w:lineRule="auto"/>
              <w:rPr>
                <w:rFonts w:eastAsia="MS Mincho"/>
              </w:rPr>
            </w:pPr>
            <w:r w:rsidRPr="004304A2">
              <w:rPr>
                <w:rFonts w:eastAsia="MS Mincho"/>
              </w:rPr>
              <w:t>9.380</w:t>
            </w:r>
          </w:p>
        </w:tc>
        <w:tc>
          <w:tcPr>
            <w:tcW w:w="1440" w:type="dxa"/>
          </w:tcPr>
          <w:p w14:paraId="6405577F" w14:textId="77777777" w:rsidR="004304A2" w:rsidRPr="004304A2" w:rsidRDefault="004304A2" w:rsidP="004304A2">
            <w:pPr>
              <w:tabs>
                <w:tab w:val="left" w:pos="1140"/>
              </w:tabs>
              <w:spacing w:after="200" w:line="276" w:lineRule="auto"/>
              <w:rPr>
                <w:rFonts w:eastAsia="MS Mincho"/>
              </w:rPr>
            </w:pPr>
            <w:r w:rsidRPr="004304A2">
              <w:rPr>
                <w:rFonts w:eastAsia="MS Mincho"/>
              </w:rPr>
              <w:t>*</w:t>
            </w:r>
          </w:p>
        </w:tc>
        <w:tc>
          <w:tcPr>
            <w:tcW w:w="1062" w:type="dxa"/>
          </w:tcPr>
          <w:p w14:paraId="3BFA9601" w14:textId="77777777" w:rsidR="004304A2" w:rsidRPr="004304A2" w:rsidRDefault="004304A2" w:rsidP="004304A2">
            <w:pPr>
              <w:tabs>
                <w:tab w:val="left" w:pos="1140"/>
              </w:tabs>
              <w:spacing w:after="200" w:line="276" w:lineRule="auto"/>
              <w:rPr>
                <w:rFonts w:eastAsia="MS Mincho"/>
              </w:rPr>
            </w:pPr>
            <w:r w:rsidRPr="004304A2">
              <w:rPr>
                <w:rFonts w:eastAsia="MS Mincho"/>
              </w:rPr>
              <w:t>39</w:t>
            </w:r>
          </w:p>
        </w:tc>
      </w:tr>
      <w:tr w:rsidR="004304A2" w:rsidRPr="004304A2" w14:paraId="3205C5A6" w14:textId="77777777" w:rsidTr="00C93D65">
        <w:tc>
          <w:tcPr>
            <w:tcW w:w="2520" w:type="dxa"/>
            <w:vMerge w:val="restart"/>
          </w:tcPr>
          <w:p w14:paraId="5C2966A5" w14:textId="77777777" w:rsidR="004304A2" w:rsidRPr="004304A2" w:rsidRDefault="004304A2" w:rsidP="004304A2">
            <w:pPr>
              <w:tabs>
                <w:tab w:val="left" w:pos="1140"/>
              </w:tabs>
              <w:spacing w:after="200" w:line="276" w:lineRule="auto"/>
              <w:rPr>
                <w:rFonts w:eastAsia="MS Mincho"/>
              </w:rPr>
            </w:pPr>
            <w:r w:rsidRPr="004304A2">
              <w:rPr>
                <w:rFonts w:eastAsia="MS Mincho"/>
              </w:rPr>
              <w:t xml:space="preserve">First-Grade Math </w:t>
            </w:r>
          </w:p>
        </w:tc>
        <w:tc>
          <w:tcPr>
            <w:tcW w:w="1710" w:type="dxa"/>
          </w:tcPr>
          <w:p w14:paraId="3B53A035" w14:textId="77777777" w:rsidR="004304A2" w:rsidRPr="004304A2" w:rsidRDefault="004304A2" w:rsidP="004304A2">
            <w:pPr>
              <w:tabs>
                <w:tab w:val="left" w:pos="1140"/>
              </w:tabs>
              <w:spacing w:after="200" w:line="276" w:lineRule="auto"/>
              <w:rPr>
                <w:rFonts w:eastAsia="MS Mincho"/>
              </w:rPr>
            </w:pPr>
            <w:r w:rsidRPr="004304A2">
              <w:rPr>
                <w:rFonts w:eastAsia="MS Mincho"/>
              </w:rPr>
              <w:t>Comparison</w:t>
            </w:r>
          </w:p>
        </w:tc>
        <w:tc>
          <w:tcPr>
            <w:tcW w:w="900" w:type="dxa"/>
          </w:tcPr>
          <w:p w14:paraId="1235EA0C" w14:textId="77777777" w:rsidR="004304A2" w:rsidRPr="004304A2" w:rsidRDefault="004304A2" w:rsidP="004304A2">
            <w:pPr>
              <w:tabs>
                <w:tab w:val="left" w:pos="1140"/>
              </w:tabs>
              <w:spacing w:after="200" w:line="276" w:lineRule="auto"/>
              <w:rPr>
                <w:rFonts w:eastAsia="MS Mincho"/>
              </w:rPr>
            </w:pPr>
            <w:r w:rsidRPr="004304A2">
              <w:rPr>
                <w:rFonts w:eastAsia="MS Mincho"/>
              </w:rPr>
              <w:t>2015</w:t>
            </w:r>
          </w:p>
        </w:tc>
        <w:tc>
          <w:tcPr>
            <w:tcW w:w="1260" w:type="dxa"/>
          </w:tcPr>
          <w:p w14:paraId="39608B34" w14:textId="77777777" w:rsidR="004304A2" w:rsidRPr="004304A2" w:rsidRDefault="004304A2" w:rsidP="004304A2">
            <w:pPr>
              <w:tabs>
                <w:tab w:val="left" w:pos="1140"/>
              </w:tabs>
              <w:spacing w:after="200" w:line="276" w:lineRule="auto"/>
              <w:rPr>
                <w:rFonts w:eastAsia="MS Mincho"/>
              </w:rPr>
            </w:pPr>
            <w:r w:rsidRPr="004304A2">
              <w:rPr>
                <w:rFonts w:eastAsia="MS Mincho"/>
              </w:rPr>
              <w:t>162.00</w:t>
            </w:r>
          </w:p>
        </w:tc>
        <w:tc>
          <w:tcPr>
            <w:tcW w:w="1530" w:type="dxa"/>
          </w:tcPr>
          <w:p w14:paraId="47C91040" w14:textId="77777777" w:rsidR="004304A2" w:rsidRPr="004304A2" w:rsidRDefault="004304A2" w:rsidP="004304A2">
            <w:pPr>
              <w:tabs>
                <w:tab w:val="left" w:pos="1140"/>
              </w:tabs>
              <w:spacing w:after="200" w:line="276" w:lineRule="auto"/>
              <w:rPr>
                <w:rFonts w:eastAsia="MS Mincho"/>
              </w:rPr>
            </w:pPr>
            <w:r w:rsidRPr="004304A2">
              <w:rPr>
                <w:rFonts w:eastAsia="MS Mincho"/>
              </w:rPr>
              <w:t>171.67</w:t>
            </w:r>
          </w:p>
        </w:tc>
        <w:tc>
          <w:tcPr>
            <w:tcW w:w="1530" w:type="dxa"/>
          </w:tcPr>
          <w:p w14:paraId="0781303C" w14:textId="77777777" w:rsidR="004304A2" w:rsidRPr="004304A2" w:rsidRDefault="004304A2" w:rsidP="004304A2">
            <w:pPr>
              <w:tabs>
                <w:tab w:val="left" w:pos="1140"/>
              </w:tabs>
              <w:spacing w:after="200" w:line="276" w:lineRule="auto"/>
              <w:rPr>
                <w:rFonts w:eastAsia="MS Mincho"/>
              </w:rPr>
            </w:pPr>
            <w:r w:rsidRPr="004304A2">
              <w:rPr>
                <w:rFonts w:eastAsia="MS Mincho"/>
              </w:rPr>
              <w:t>186.75</w:t>
            </w:r>
          </w:p>
        </w:tc>
        <w:tc>
          <w:tcPr>
            <w:tcW w:w="1350" w:type="dxa"/>
          </w:tcPr>
          <w:p w14:paraId="02241E21" w14:textId="77777777" w:rsidR="004304A2" w:rsidRPr="004304A2" w:rsidRDefault="004304A2" w:rsidP="004304A2">
            <w:pPr>
              <w:tabs>
                <w:tab w:val="left" w:pos="1140"/>
              </w:tabs>
              <w:spacing w:after="200" w:line="276" w:lineRule="auto"/>
              <w:rPr>
                <w:rFonts w:eastAsia="MS Mincho"/>
              </w:rPr>
            </w:pPr>
            <w:r w:rsidRPr="004304A2">
              <w:rPr>
                <w:rFonts w:eastAsia="MS Mincho"/>
              </w:rPr>
              <w:t>12.13</w:t>
            </w:r>
          </w:p>
        </w:tc>
        <w:tc>
          <w:tcPr>
            <w:tcW w:w="1440" w:type="dxa"/>
          </w:tcPr>
          <w:p w14:paraId="3EA49189" w14:textId="77777777" w:rsidR="004304A2" w:rsidRPr="004304A2" w:rsidRDefault="004304A2" w:rsidP="004304A2">
            <w:pPr>
              <w:tabs>
                <w:tab w:val="left" w:pos="1140"/>
              </w:tabs>
              <w:spacing w:after="200" w:line="276" w:lineRule="auto"/>
              <w:rPr>
                <w:rFonts w:eastAsia="MS Mincho"/>
              </w:rPr>
            </w:pPr>
            <w:r w:rsidRPr="004304A2">
              <w:rPr>
                <w:rFonts w:eastAsia="MS Mincho"/>
              </w:rPr>
              <w:t>12.941</w:t>
            </w:r>
          </w:p>
        </w:tc>
        <w:tc>
          <w:tcPr>
            <w:tcW w:w="1440" w:type="dxa"/>
          </w:tcPr>
          <w:p w14:paraId="4A6FFB6E" w14:textId="77777777" w:rsidR="004304A2" w:rsidRPr="004304A2" w:rsidRDefault="004304A2" w:rsidP="004304A2">
            <w:pPr>
              <w:tabs>
                <w:tab w:val="left" w:pos="1140"/>
              </w:tabs>
              <w:spacing w:after="200" w:line="276" w:lineRule="auto"/>
              <w:rPr>
                <w:rFonts w:eastAsia="MS Mincho"/>
              </w:rPr>
            </w:pPr>
            <w:r w:rsidRPr="004304A2">
              <w:rPr>
                <w:rFonts w:eastAsia="MS Mincho"/>
              </w:rPr>
              <w:t>12.75</w:t>
            </w:r>
          </w:p>
        </w:tc>
        <w:tc>
          <w:tcPr>
            <w:tcW w:w="1062" w:type="dxa"/>
          </w:tcPr>
          <w:p w14:paraId="450D8074" w14:textId="77777777" w:rsidR="004304A2" w:rsidRPr="004304A2" w:rsidRDefault="004304A2" w:rsidP="004304A2">
            <w:pPr>
              <w:tabs>
                <w:tab w:val="left" w:pos="1140"/>
              </w:tabs>
              <w:spacing w:after="200" w:line="276" w:lineRule="auto"/>
              <w:rPr>
                <w:rFonts w:eastAsia="MS Mincho"/>
              </w:rPr>
            </w:pPr>
            <w:r w:rsidRPr="004304A2">
              <w:rPr>
                <w:rFonts w:eastAsia="MS Mincho"/>
              </w:rPr>
              <w:t>48</w:t>
            </w:r>
          </w:p>
        </w:tc>
      </w:tr>
      <w:tr w:rsidR="004304A2" w:rsidRPr="004304A2" w14:paraId="4DAF298E" w14:textId="77777777" w:rsidTr="00C93D65">
        <w:tc>
          <w:tcPr>
            <w:tcW w:w="2520" w:type="dxa"/>
            <w:vMerge/>
          </w:tcPr>
          <w:p w14:paraId="227C2D2D" w14:textId="77777777" w:rsidR="004304A2" w:rsidRPr="004304A2" w:rsidRDefault="004304A2" w:rsidP="004304A2">
            <w:pPr>
              <w:tabs>
                <w:tab w:val="left" w:pos="1140"/>
              </w:tabs>
              <w:spacing w:after="200" w:line="276" w:lineRule="auto"/>
              <w:rPr>
                <w:rFonts w:eastAsia="MS Mincho"/>
              </w:rPr>
            </w:pPr>
          </w:p>
        </w:tc>
        <w:tc>
          <w:tcPr>
            <w:tcW w:w="1710" w:type="dxa"/>
          </w:tcPr>
          <w:p w14:paraId="10DDCFD9" w14:textId="77777777" w:rsidR="004304A2" w:rsidRPr="004304A2" w:rsidRDefault="004304A2" w:rsidP="004304A2">
            <w:pPr>
              <w:tabs>
                <w:tab w:val="left" w:pos="1140"/>
              </w:tabs>
              <w:spacing w:after="200" w:line="276" w:lineRule="auto"/>
              <w:rPr>
                <w:rFonts w:eastAsia="MS Mincho"/>
              </w:rPr>
            </w:pPr>
            <w:r w:rsidRPr="004304A2">
              <w:rPr>
                <w:rFonts w:eastAsia="MS Mincho"/>
              </w:rPr>
              <w:t>Treatment</w:t>
            </w:r>
          </w:p>
        </w:tc>
        <w:tc>
          <w:tcPr>
            <w:tcW w:w="900" w:type="dxa"/>
          </w:tcPr>
          <w:p w14:paraId="287B69A9" w14:textId="77777777" w:rsidR="004304A2" w:rsidRPr="004304A2" w:rsidRDefault="004304A2" w:rsidP="004304A2">
            <w:pPr>
              <w:tabs>
                <w:tab w:val="left" w:pos="1140"/>
              </w:tabs>
              <w:spacing w:after="200" w:line="276" w:lineRule="auto"/>
              <w:rPr>
                <w:rFonts w:eastAsia="MS Mincho"/>
              </w:rPr>
            </w:pPr>
            <w:r w:rsidRPr="004304A2">
              <w:rPr>
                <w:rFonts w:eastAsia="MS Mincho"/>
              </w:rPr>
              <w:t>2016</w:t>
            </w:r>
          </w:p>
        </w:tc>
        <w:tc>
          <w:tcPr>
            <w:tcW w:w="1260" w:type="dxa"/>
          </w:tcPr>
          <w:p w14:paraId="21914A38" w14:textId="77777777" w:rsidR="004304A2" w:rsidRPr="004304A2" w:rsidRDefault="004304A2" w:rsidP="004304A2">
            <w:pPr>
              <w:tabs>
                <w:tab w:val="left" w:pos="1140"/>
              </w:tabs>
              <w:spacing w:after="200" w:line="276" w:lineRule="auto"/>
              <w:rPr>
                <w:rFonts w:eastAsia="MS Mincho"/>
              </w:rPr>
            </w:pPr>
            <w:r w:rsidRPr="004304A2">
              <w:rPr>
                <w:rFonts w:eastAsia="MS Mincho"/>
              </w:rPr>
              <w:t>160.13</w:t>
            </w:r>
          </w:p>
        </w:tc>
        <w:tc>
          <w:tcPr>
            <w:tcW w:w="1530" w:type="dxa"/>
          </w:tcPr>
          <w:p w14:paraId="5DD9074E" w14:textId="77777777" w:rsidR="004304A2" w:rsidRPr="004304A2" w:rsidRDefault="004304A2" w:rsidP="004304A2">
            <w:pPr>
              <w:tabs>
                <w:tab w:val="left" w:pos="1140"/>
              </w:tabs>
              <w:spacing w:after="200" w:line="276" w:lineRule="auto"/>
              <w:rPr>
                <w:rFonts w:eastAsia="MS Mincho"/>
              </w:rPr>
            </w:pPr>
            <w:r w:rsidRPr="004304A2">
              <w:rPr>
                <w:rFonts w:eastAsia="MS Mincho"/>
              </w:rPr>
              <w:t>171.31</w:t>
            </w:r>
          </w:p>
        </w:tc>
        <w:tc>
          <w:tcPr>
            <w:tcW w:w="1530" w:type="dxa"/>
          </w:tcPr>
          <w:p w14:paraId="69FA27AE" w14:textId="77777777" w:rsidR="004304A2" w:rsidRPr="004304A2" w:rsidRDefault="004304A2" w:rsidP="004304A2">
            <w:pPr>
              <w:tabs>
                <w:tab w:val="left" w:pos="1140"/>
              </w:tabs>
              <w:spacing w:after="200" w:line="276" w:lineRule="auto"/>
              <w:rPr>
                <w:rFonts w:eastAsia="MS Mincho"/>
              </w:rPr>
            </w:pPr>
            <w:r w:rsidRPr="004304A2">
              <w:rPr>
                <w:rFonts w:eastAsia="MS Mincho"/>
              </w:rPr>
              <w:t>185.34</w:t>
            </w:r>
          </w:p>
        </w:tc>
        <w:tc>
          <w:tcPr>
            <w:tcW w:w="1350" w:type="dxa"/>
          </w:tcPr>
          <w:p w14:paraId="3CD13114" w14:textId="77777777" w:rsidR="004304A2" w:rsidRPr="004304A2" w:rsidRDefault="004304A2" w:rsidP="004304A2">
            <w:pPr>
              <w:tabs>
                <w:tab w:val="left" w:pos="1140"/>
              </w:tabs>
              <w:spacing w:after="200" w:line="276" w:lineRule="auto"/>
              <w:rPr>
                <w:rFonts w:eastAsia="MS Mincho"/>
              </w:rPr>
            </w:pPr>
            <w:r w:rsidRPr="004304A2">
              <w:rPr>
                <w:rFonts w:eastAsia="MS Mincho"/>
              </w:rPr>
              <w:t>15.92</w:t>
            </w:r>
          </w:p>
        </w:tc>
        <w:tc>
          <w:tcPr>
            <w:tcW w:w="1440" w:type="dxa"/>
          </w:tcPr>
          <w:p w14:paraId="40549133" w14:textId="77777777" w:rsidR="004304A2" w:rsidRPr="004304A2" w:rsidRDefault="004304A2" w:rsidP="004304A2">
            <w:pPr>
              <w:tabs>
                <w:tab w:val="left" w:pos="1140"/>
              </w:tabs>
              <w:spacing w:after="200" w:line="276" w:lineRule="auto"/>
              <w:rPr>
                <w:rFonts w:eastAsia="MS Mincho"/>
              </w:rPr>
            </w:pPr>
            <w:r w:rsidRPr="004304A2">
              <w:rPr>
                <w:rFonts w:eastAsia="MS Mincho"/>
              </w:rPr>
              <w:t>16.99</w:t>
            </w:r>
          </w:p>
        </w:tc>
        <w:tc>
          <w:tcPr>
            <w:tcW w:w="1440" w:type="dxa"/>
          </w:tcPr>
          <w:p w14:paraId="07532F91" w14:textId="77777777" w:rsidR="004304A2" w:rsidRPr="004304A2" w:rsidRDefault="004304A2" w:rsidP="004304A2">
            <w:pPr>
              <w:tabs>
                <w:tab w:val="left" w:pos="1140"/>
              </w:tabs>
              <w:spacing w:after="200" w:line="276" w:lineRule="auto"/>
              <w:rPr>
                <w:rFonts w:eastAsia="MS Mincho"/>
              </w:rPr>
            </w:pPr>
            <w:r w:rsidRPr="004304A2">
              <w:rPr>
                <w:rFonts w:eastAsia="MS Mincho"/>
              </w:rPr>
              <w:t>18.35</w:t>
            </w:r>
          </w:p>
        </w:tc>
        <w:tc>
          <w:tcPr>
            <w:tcW w:w="1062" w:type="dxa"/>
          </w:tcPr>
          <w:p w14:paraId="1D547F95" w14:textId="77777777" w:rsidR="004304A2" w:rsidRPr="004304A2" w:rsidRDefault="004304A2" w:rsidP="004304A2">
            <w:pPr>
              <w:tabs>
                <w:tab w:val="left" w:pos="1140"/>
              </w:tabs>
              <w:spacing w:after="200" w:line="276" w:lineRule="auto"/>
              <w:rPr>
                <w:rFonts w:eastAsia="MS Mincho"/>
              </w:rPr>
            </w:pPr>
            <w:r w:rsidRPr="004304A2">
              <w:rPr>
                <w:rFonts w:eastAsia="MS Mincho"/>
              </w:rPr>
              <w:t>64</w:t>
            </w:r>
          </w:p>
        </w:tc>
      </w:tr>
      <w:tr w:rsidR="004304A2" w:rsidRPr="004304A2" w14:paraId="2B133429" w14:textId="77777777" w:rsidTr="00C93D65">
        <w:tc>
          <w:tcPr>
            <w:tcW w:w="2520" w:type="dxa"/>
            <w:vMerge w:val="restart"/>
          </w:tcPr>
          <w:p w14:paraId="53DA0FCA" w14:textId="77777777" w:rsidR="004304A2" w:rsidRPr="004304A2" w:rsidRDefault="004304A2" w:rsidP="004304A2">
            <w:pPr>
              <w:tabs>
                <w:tab w:val="left" w:pos="1140"/>
              </w:tabs>
              <w:spacing w:after="200" w:line="276" w:lineRule="auto"/>
              <w:rPr>
                <w:rFonts w:eastAsia="MS Mincho"/>
              </w:rPr>
            </w:pPr>
            <w:r w:rsidRPr="004304A2">
              <w:rPr>
                <w:rFonts w:eastAsia="MS Mincho"/>
              </w:rPr>
              <w:t xml:space="preserve">First-Grade Reading </w:t>
            </w:r>
          </w:p>
        </w:tc>
        <w:tc>
          <w:tcPr>
            <w:tcW w:w="1710" w:type="dxa"/>
          </w:tcPr>
          <w:p w14:paraId="6F9CA51A" w14:textId="77777777" w:rsidR="004304A2" w:rsidRPr="004304A2" w:rsidRDefault="004304A2" w:rsidP="004304A2">
            <w:pPr>
              <w:tabs>
                <w:tab w:val="left" w:pos="1140"/>
              </w:tabs>
              <w:spacing w:after="200" w:line="276" w:lineRule="auto"/>
              <w:rPr>
                <w:rFonts w:eastAsia="MS Mincho"/>
              </w:rPr>
            </w:pPr>
            <w:r w:rsidRPr="004304A2">
              <w:rPr>
                <w:rFonts w:eastAsia="MS Mincho"/>
              </w:rPr>
              <w:t>Comparison</w:t>
            </w:r>
          </w:p>
        </w:tc>
        <w:tc>
          <w:tcPr>
            <w:tcW w:w="900" w:type="dxa"/>
          </w:tcPr>
          <w:p w14:paraId="6776C5C9" w14:textId="77777777" w:rsidR="004304A2" w:rsidRPr="004304A2" w:rsidRDefault="004304A2" w:rsidP="004304A2">
            <w:pPr>
              <w:tabs>
                <w:tab w:val="left" w:pos="1140"/>
              </w:tabs>
              <w:spacing w:after="200" w:line="276" w:lineRule="auto"/>
              <w:rPr>
                <w:rFonts w:eastAsia="MS Mincho"/>
              </w:rPr>
            </w:pPr>
            <w:r w:rsidRPr="004304A2">
              <w:rPr>
                <w:rFonts w:eastAsia="MS Mincho"/>
              </w:rPr>
              <w:t>2015</w:t>
            </w:r>
          </w:p>
        </w:tc>
        <w:tc>
          <w:tcPr>
            <w:tcW w:w="1260" w:type="dxa"/>
          </w:tcPr>
          <w:p w14:paraId="528EAD39" w14:textId="77777777" w:rsidR="004304A2" w:rsidRPr="004304A2" w:rsidRDefault="004304A2" w:rsidP="004304A2">
            <w:pPr>
              <w:tabs>
                <w:tab w:val="left" w:pos="1140"/>
              </w:tabs>
              <w:spacing w:after="200" w:line="276" w:lineRule="auto"/>
              <w:rPr>
                <w:rFonts w:eastAsia="MS Mincho"/>
              </w:rPr>
            </w:pPr>
            <w:r w:rsidRPr="004304A2">
              <w:rPr>
                <w:rFonts w:eastAsia="MS Mincho"/>
              </w:rPr>
              <w:t>158.21</w:t>
            </w:r>
          </w:p>
        </w:tc>
        <w:tc>
          <w:tcPr>
            <w:tcW w:w="1530" w:type="dxa"/>
          </w:tcPr>
          <w:p w14:paraId="4698518D" w14:textId="77777777" w:rsidR="004304A2" w:rsidRPr="004304A2" w:rsidRDefault="004304A2" w:rsidP="004304A2">
            <w:pPr>
              <w:tabs>
                <w:tab w:val="left" w:pos="1140"/>
              </w:tabs>
              <w:spacing w:after="200" w:line="276" w:lineRule="auto"/>
              <w:rPr>
                <w:rFonts w:eastAsia="MS Mincho"/>
              </w:rPr>
            </w:pPr>
            <w:r w:rsidRPr="004304A2">
              <w:rPr>
                <w:rFonts w:eastAsia="MS Mincho"/>
              </w:rPr>
              <w:t>167.15</w:t>
            </w:r>
          </w:p>
        </w:tc>
        <w:tc>
          <w:tcPr>
            <w:tcW w:w="1530" w:type="dxa"/>
          </w:tcPr>
          <w:p w14:paraId="5C7D7300" w14:textId="77777777" w:rsidR="004304A2" w:rsidRPr="004304A2" w:rsidRDefault="004304A2" w:rsidP="004304A2">
            <w:pPr>
              <w:tabs>
                <w:tab w:val="left" w:pos="1140"/>
              </w:tabs>
              <w:spacing w:after="200" w:line="276" w:lineRule="auto"/>
              <w:rPr>
                <w:rFonts w:eastAsia="MS Mincho"/>
              </w:rPr>
            </w:pPr>
            <w:r w:rsidRPr="004304A2">
              <w:rPr>
                <w:rFonts w:eastAsia="MS Mincho"/>
              </w:rPr>
              <w:t>180.15</w:t>
            </w:r>
          </w:p>
        </w:tc>
        <w:tc>
          <w:tcPr>
            <w:tcW w:w="1350" w:type="dxa"/>
          </w:tcPr>
          <w:p w14:paraId="53B1AC9A" w14:textId="77777777" w:rsidR="004304A2" w:rsidRPr="004304A2" w:rsidRDefault="004304A2" w:rsidP="004304A2">
            <w:pPr>
              <w:tabs>
                <w:tab w:val="left" w:pos="1140"/>
              </w:tabs>
              <w:spacing w:after="200" w:line="276" w:lineRule="auto"/>
              <w:rPr>
                <w:rFonts w:eastAsia="MS Mincho"/>
              </w:rPr>
            </w:pPr>
            <w:r w:rsidRPr="004304A2">
              <w:rPr>
                <w:rFonts w:eastAsia="MS Mincho"/>
              </w:rPr>
              <w:t>10.12</w:t>
            </w:r>
          </w:p>
        </w:tc>
        <w:tc>
          <w:tcPr>
            <w:tcW w:w="1440" w:type="dxa"/>
          </w:tcPr>
          <w:p w14:paraId="62377579" w14:textId="77777777" w:rsidR="004304A2" w:rsidRPr="004304A2" w:rsidRDefault="004304A2" w:rsidP="004304A2">
            <w:pPr>
              <w:tabs>
                <w:tab w:val="left" w:pos="1140"/>
              </w:tabs>
              <w:spacing w:after="200" w:line="276" w:lineRule="auto"/>
              <w:rPr>
                <w:rFonts w:eastAsia="MS Mincho"/>
              </w:rPr>
            </w:pPr>
            <w:r w:rsidRPr="004304A2">
              <w:rPr>
                <w:rFonts w:eastAsia="MS Mincho"/>
              </w:rPr>
              <w:t>11.03</w:t>
            </w:r>
          </w:p>
        </w:tc>
        <w:tc>
          <w:tcPr>
            <w:tcW w:w="1440" w:type="dxa"/>
          </w:tcPr>
          <w:p w14:paraId="04A28185" w14:textId="77777777" w:rsidR="004304A2" w:rsidRPr="004304A2" w:rsidRDefault="004304A2" w:rsidP="004304A2">
            <w:pPr>
              <w:tabs>
                <w:tab w:val="left" w:pos="1140"/>
              </w:tabs>
              <w:spacing w:after="200" w:line="276" w:lineRule="auto"/>
              <w:rPr>
                <w:rFonts w:eastAsia="MS Mincho"/>
              </w:rPr>
            </w:pPr>
            <w:r w:rsidRPr="004304A2">
              <w:rPr>
                <w:rFonts w:eastAsia="MS Mincho"/>
              </w:rPr>
              <w:t>9.27</w:t>
            </w:r>
          </w:p>
        </w:tc>
        <w:tc>
          <w:tcPr>
            <w:tcW w:w="1062" w:type="dxa"/>
          </w:tcPr>
          <w:p w14:paraId="694F87A2" w14:textId="77777777" w:rsidR="004304A2" w:rsidRPr="004304A2" w:rsidRDefault="004304A2" w:rsidP="004304A2">
            <w:pPr>
              <w:tabs>
                <w:tab w:val="left" w:pos="1140"/>
              </w:tabs>
              <w:spacing w:after="200" w:line="276" w:lineRule="auto"/>
              <w:rPr>
                <w:rFonts w:eastAsia="MS Mincho"/>
              </w:rPr>
            </w:pPr>
            <w:r w:rsidRPr="004304A2">
              <w:rPr>
                <w:rFonts w:eastAsia="MS Mincho"/>
              </w:rPr>
              <w:t>48</w:t>
            </w:r>
          </w:p>
        </w:tc>
      </w:tr>
      <w:tr w:rsidR="004304A2" w:rsidRPr="004304A2" w14:paraId="57A25BEF" w14:textId="77777777" w:rsidTr="00C93D65">
        <w:trPr>
          <w:trHeight w:val="540"/>
        </w:trPr>
        <w:tc>
          <w:tcPr>
            <w:tcW w:w="2520" w:type="dxa"/>
            <w:vMerge/>
          </w:tcPr>
          <w:p w14:paraId="1AC4C85D" w14:textId="77777777" w:rsidR="004304A2" w:rsidRPr="004304A2" w:rsidRDefault="004304A2" w:rsidP="004304A2">
            <w:pPr>
              <w:tabs>
                <w:tab w:val="left" w:pos="1140"/>
              </w:tabs>
              <w:spacing w:after="200" w:line="276" w:lineRule="auto"/>
              <w:rPr>
                <w:rFonts w:eastAsia="MS Mincho"/>
              </w:rPr>
            </w:pPr>
          </w:p>
        </w:tc>
        <w:tc>
          <w:tcPr>
            <w:tcW w:w="1710" w:type="dxa"/>
          </w:tcPr>
          <w:p w14:paraId="0A47457F" w14:textId="77777777" w:rsidR="004304A2" w:rsidRPr="004304A2" w:rsidRDefault="004304A2" w:rsidP="004304A2">
            <w:pPr>
              <w:tabs>
                <w:tab w:val="left" w:pos="1140"/>
              </w:tabs>
              <w:spacing w:after="200" w:line="276" w:lineRule="auto"/>
              <w:rPr>
                <w:rFonts w:eastAsia="MS Mincho"/>
              </w:rPr>
            </w:pPr>
            <w:r w:rsidRPr="004304A2">
              <w:rPr>
                <w:rFonts w:eastAsia="MS Mincho"/>
              </w:rPr>
              <w:t>Treatment</w:t>
            </w:r>
          </w:p>
        </w:tc>
        <w:tc>
          <w:tcPr>
            <w:tcW w:w="900" w:type="dxa"/>
          </w:tcPr>
          <w:p w14:paraId="6B41C4F8" w14:textId="77777777" w:rsidR="004304A2" w:rsidRPr="004304A2" w:rsidRDefault="004304A2" w:rsidP="004304A2">
            <w:pPr>
              <w:tabs>
                <w:tab w:val="left" w:pos="1140"/>
              </w:tabs>
              <w:spacing w:after="200" w:line="276" w:lineRule="auto"/>
              <w:rPr>
                <w:rFonts w:eastAsia="MS Mincho"/>
              </w:rPr>
            </w:pPr>
            <w:r w:rsidRPr="004304A2">
              <w:rPr>
                <w:rFonts w:eastAsia="MS Mincho"/>
              </w:rPr>
              <w:t>2016</w:t>
            </w:r>
          </w:p>
        </w:tc>
        <w:tc>
          <w:tcPr>
            <w:tcW w:w="1260" w:type="dxa"/>
          </w:tcPr>
          <w:p w14:paraId="552E41E6" w14:textId="77777777" w:rsidR="004304A2" w:rsidRPr="004304A2" w:rsidRDefault="004304A2" w:rsidP="004304A2">
            <w:pPr>
              <w:tabs>
                <w:tab w:val="left" w:pos="1140"/>
              </w:tabs>
              <w:spacing w:after="200" w:line="276" w:lineRule="auto"/>
              <w:rPr>
                <w:rFonts w:eastAsia="MS Mincho"/>
              </w:rPr>
            </w:pPr>
            <w:r w:rsidRPr="004304A2">
              <w:rPr>
                <w:rFonts w:eastAsia="MS Mincho"/>
              </w:rPr>
              <w:t>157.64</w:t>
            </w:r>
          </w:p>
        </w:tc>
        <w:tc>
          <w:tcPr>
            <w:tcW w:w="1530" w:type="dxa"/>
          </w:tcPr>
          <w:p w14:paraId="6AA2EC4B" w14:textId="77777777" w:rsidR="004304A2" w:rsidRPr="004304A2" w:rsidRDefault="004304A2" w:rsidP="004304A2">
            <w:pPr>
              <w:tabs>
                <w:tab w:val="left" w:pos="1140"/>
              </w:tabs>
              <w:spacing w:after="200" w:line="276" w:lineRule="auto"/>
              <w:rPr>
                <w:rFonts w:eastAsia="MS Mincho"/>
              </w:rPr>
            </w:pPr>
            <w:r w:rsidRPr="004304A2">
              <w:rPr>
                <w:rFonts w:eastAsia="MS Mincho"/>
              </w:rPr>
              <w:t>168.06</w:t>
            </w:r>
          </w:p>
        </w:tc>
        <w:tc>
          <w:tcPr>
            <w:tcW w:w="1530" w:type="dxa"/>
          </w:tcPr>
          <w:p w14:paraId="074FEDFD" w14:textId="77777777" w:rsidR="004304A2" w:rsidRPr="004304A2" w:rsidRDefault="004304A2" w:rsidP="004304A2">
            <w:pPr>
              <w:tabs>
                <w:tab w:val="left" w:pos="1140"/>
              </w:tabs>
              <w:spacing w:after="200" w:line="276" w:lineRule="auto"/>
              <w:rPr>
                <w:rFonts w:eastAsia="MS Mincho"/>
              </w:rPr>
            </w:pPr>
            <w:r w:rsidRPr="004304A2">
              <w:rPr>
                <w:rFonts w:eastAsia="MS Mincho"/>
              </w:rPr>
              <w:t>179.92</w:t>
            </w:r>
          </w:p>
        </w:tc>
        <w:tc>
          <w:tcPr>
            <w:tcW w:w="1350" w:type="dxa"/>
          </w:tcPr>
          <w:p w14:paraId="2069B63D" w14:textId="77777777" w:rsidR="004304A2" w:rsidRPr="004304A2" w:rsidRDefault="004304A2" w:rsidP="004304A2">
            <w:pPr>
              <w:tabs>
                <w:tab w:val="left" w:pos="1140"/>
              </w:tabs>
              <w:spacing w:after="200" w:line="276" w:lineRule="auto"/>
              <w:rPr>
                <w:rFonts w:eastAsia="MS Mincho"/>
              </w:rPr>
            </w:pPr>
            <w:r w:rsidRPr="004304A2">
              <w:rPr>
                <w:rFonts w:eastAsia="MS Mincho"/>
              </w:rPr>
              <w:t>11.46</w:t>
            </w:r>
          </w:p>
        </w:tc>
        <w:tc>
          <w:tcPr>
            <w:tcW w:w="1440" w:type="dxa"/>
          </w:tcPr>
          <w:p w14:paraId="128105E6" w14:textId="77777777" w:rsidR="004304A2" w:rsidRPr="004304A2" w:rsidRDefault="004304A2" w:rsidP="004304A2">
            <w:pPr>
              <w:tabs>
                <w:tab w:val="left" w:pos="1140"/>
              </w:tabs>
              <w:spacing w:after="200" w:line="276" w:lineRule="auto"/>
              <w:rPr>
                <w:rFonts w:eastAsia="MS Mincho"/>
              </w:rPr>
            </w:pPr>
            <w:r w:rsidRPr="004304A2">
              <w:rPr>
                <w:rFonts w:eastAsia="MS Mincho"/>
              </w:rPr>
              <w:t>13.36</w:t>
            </w:r>
          </w:p>
        </w:tc>
        <w:tc>
          <w:tcPr>
            <w:tcW w:w="1440" w:type="dxa"/>
          </w:tcPr>
          <w:p w14:paraId="7ACC03D2" w14:textId="77777777" w:rsidR="004304A2" w:rsidRPr="004304A2" w:rsidRDefault="004304A2" w:rsidP="004304A2">
            <w:pPr>
              <w:tabs>
                <w:tab w:val="left" w:pos="1140"/>
              </w:tabs>
              <w:spacing w:after="200" w:line="276" w:lineRule="auto"/>
              <w:rPr>
                <w:rFonts w:eastAsia="MS Mincho"/>
              </w:rPr>
            </w:pPr>
            <w:r w:rsidRPr="004304A2">
              <w:rPr>
                <w:rFonts w:eastAsia="MS Mincho"/>
              </w:rPr>
              <w:t>13.13</w:t>
            </w:r>
          </w:p>
        </w:tc>
        <w:tc>
          <w:tcPr>
            <w:tcW w:w="1062" w:type="dxa"/>
          </w:tcPr>
          <w:p w14:paraId="7FBB8320" w14:textId="77777777" w:rsidR="004304A2" w:rsidRPr="004304A2" w:rsidRDefault="004304A2" w:rsidP="004304A2">
            <w:pPr>
              <w:tabs>
                <w:tab w:val="left" w:pos="1140"/>
              </w:tabs>
              <w:spacing w:after="200" w:line="276" w:lineRule="auto"/>
              <w:rPr>
                <w:rFonts w:eastAsia="MS Mincho"/>
              </w:rPr>
            </w:pPr>
            <w:r w:rsidRPr="004304A2">
              <w:rPr>
                <w:rFonts w:eastAsia="MS Mincho"/>
              </w:rPr>
              <w:t>64</w:t>
            </w:r>
          </w:p>
        </w:tc>
      </w:tr>
      <w:tr w:rsidR="004304A2" w:rsidRPr="004304A2" w14:paraId="09B6E26B" w14:textId="77777777" w:rsidTr="00C93D65">
        <w:tc>
          <w:tcPr>
            <w:tcW w:w="2520" w:type="dxa"/>
            <w:vMerge w:val="restart"/>
          </w:tcPr>
          <w:p w14:paraId="0AADBCAA" w14:textId="77777777" w:rsidR="004304A2" w:rsidRPr="004304A2" w:rsidRDefault="004304A2" w:rsidP="004304A2">
            <w:pPr>
              <w:tabs>
                <w:tab w:val="left" w:pos="1140"/>
              </w:tabs>
              <w:spacing w:after="200" w:line="276" w:lineRule="auto"/>
              <w:rPr>
                <w:rFonts w:eastAsia="MS Mincho"/>
              </w:rPr>
            </w:pPr>
            <w:r w:rsidRPr="004304A2">
              <w:rPr>
                <w:rFonts w:eastAsia="MS Mincho"/>
              </w:rPr>
              <w:t xml:space="preserve">First-Grade Math </w:t>
            </w:r>
          </w:p>
        </w:tc>
        <w:tc>
          <w:tcPr>
            <w:tcW w:w="1710" w:type="dxa"/>
          </w:tcPr>
          <w:p w14:paraId="462B7B42" w14:textId="77777777" w:rsidR="004304A2" w:rsidRPr="004304A2" w:rsidRDefault="004304A2" w:rsidP="004304A2">
            <w:pPr>
              <w:tabs>
                <w:tab w:val="left" w:pos="1140"/>
              </w:tabs>
              <w:spacing w:after="200" w:line="276" w:lineRule="auto"/>
              <w:rPr>
                <w:rFonts w:eastAsia="MS Mincho"/>
              </w:rPr>
            </w:pPr>
            <w:r w:rsidRPr="004304A2">
              <w:rPr>
                <w:rFonts w:eastAsia="MS Mincho"/>
              </w:rPr>
              <w:t>Comparison</w:t>
            </w:r>
          </w:p>
        </w:tc>
        <w:tc>
          <w:tcPr>
            <w:tcW w:w="900" w:type="dxa"/>
          </w:tcPr>
          <w:p w14:paraId="0D2460FB" w14:textId="77777777" w:rsidR="004304A2" w:rsidRPr="004304A2" w:rsidRDefault="004304A2" w:rsidP="004304A2">
            <w:pPr>
              <w:tabs>
                <w:tab w:val="left" w:pos="1140"/>
              </w:tabs>
              <w:spacing w:after="200" w:line="276" w:lineRule="auto"/>
              <w:rPr>
                <w:rFonts w:eastAsia="MS Mincho"/>
              </w:rPr>
            </w:pPr>
            <w:r w:rsidRPr="004304A2">
              <w:rPr>
                <w:rFonts w:eastAsia="MS Mincho"/>
              </w:rPr>
              <w:t>2015</w:t>
            </w:r>
          </w:p>
        </w:tc>
        <w:tc>
          <w:tcPr>
            <w:tcW w:w="1260" w:type="dxa"/>
          </w:tcPr>
          <w:p w14:paraId="47A93408" w14:textId="77777777" w:rsidR="004304A2" w:rsidRPr="004304A2" w:rsidRDefault="004304A2" w:rsidP="004304A2">
            <w:pPr>
              <w:tabs>
                <w:tab w:val="left" w:pos="1140"/>
              </w:tabs>
              <w:spacing w:after="200" w:line="276" w:lineRule="auto"/>
              <w:rPr>
                <w:rFonts w:eastAsia="MS Mincho"/>
              </w:rPr>
            </w:pPr>
            <w:r w:rsidRPr="004304A2">
              <w:rPr>
                <w:rFonts w:eastAsia="MS Mincho"/>
              </w:rPr>
              <w:t>162.00</w:t>
            </w:r>
          </w:p>
        </w:tc>
        <w:tc>
          <w:tcPr>
            <w:tcW w:w="1530" w:type="dxa"/>
          </w:tcPr>
          <w:p w14:paraId="413DEF3F" w14:textId="77777777" w:rsidR="004304A2" w:rsidRPr="004304A2" w:rsidRDefault="004304A2" w:rsidP="004304A2">
            <w:pPr>
              <w:tabs>
                <w:tab w:val="left" w:pos="1140"/>
              </w:tabs>
              <w:spacing w:after="200" w:line="276" w:lineRule="auto"/>
              <w:rPr>
                <w:rFonts w:eastAsia="MS Mincho"/>
              </w:rPr>
            </w:pPr>
            <w:r w:rsidRPr="004304A2">
              <w:rPr>
                <w:rFonts w:eastAsia="MS Mincho"/>
              </w:rPr>
              <w:t>171.67</w:t>
            </w:r>
          </w:p>
        </w:tc>
        <w:tc>
          <w:tcPr>
            <w:tcW w:w="1530" w:type="dxa"/>
          </w:tcPr>
          <w:p w14:paraId="001023A6" w14:textId="77777777" w:rsidR="004304A2" w:rsidRPr="004304A2" w:rsidRDefault="004304A2" w:rsidP="004304A2">
            <w:pPr>
              <w:tabs>
                <w:tab w:val="left" w:pos="1140"/>
              </w:tabs>
              <w:spacing w:after="200" w:line="276" w:lineRule="auto"/>
              <w:rPr>
                <w:rFonts w:eastAsia="MS Mincho"/>
              </w:rPr>
            </w:pPr>
            <w:r w:rsidRPr="004304A2">
              <w:rPr>
                <w:rFonts w:eastAsia="MS Mincho"/>
              </w:rPr>
              <w:t>*</w:t>
            </w:r>
          </w:p>
        </w:tc>
        <w:tc>
          <w:tcPr>
            <w:tcW w:w="1350" w:type="dxa"/>
          </w:tcPr>
          <w:p w14:paraId="06345007" w14:textId="77777777" w:rsidR="004304A2" w:rsidRPr="004304A2" w:rsidRDefault="004304A2" w:rsidP="004304A2">
            <w:pPr>
              <w:tabs>
                <w:tab w:val="left" w:pos="1140"/>
              </w:tabs>
              <w:spacing w:after="200" w:line="276" w:lineRule="auto"/>
              <w:rPr>
                <w:rFonts w:eastAsia="MS Mincho"/>
              </w:rPr>
            </w:pPr>
            <w:r w:rsidRPr="004304A2">
              <w:rPr>
                <w:rFonts w:eastAsia="MS Mincho"/>
              </w:rPr>
              <w:t>12.13</w:t>
            </w:r>
          </w:p>
        </w:tc>
        <w:tc>
          <w:tcPr>
            <w:tcW w:w="1440" w:type="dxa"/>
          </w:tcPr>
          <w:p w14:paraId="1FEEE347" w14:textId="77777777" w:rsidR="004304A2" w:rsidRPr="004304A2" w:rsidRDefault="004304A2" w:rsidP="004304A2">
            <w:pPr>
              <w:tabs>
                <w:tab w:val="left" w:pos="1140"/>
              </w:tabs>
              <w:spacing w:after="200" w:line="276" w:lineRule="auto"/>
              <w:rPr>
                <w:rFonts w:eastAsia="MS Mincho"/>
              </w:rPr>
            </w:pPr>
            <w:r w:rsidRPr="004304A2">
              <w:rPr>
                <w:rFonts w:eastAsia="MS Mincho"/>
              </w:rPr>
              <w:t>12.94</w:t>
            </w:r>
          </w:p>
        </w:tc>
        <w:tc>
          <w:tcPr>
            <w:tcW w:w="1440" w:type="dxa"/>
          </w:tcPr>
          <w:p w14:paraId="2A91EDE9" w14:textId="77777777" w:rsidR="004304A2" w:rsidRPr="004304A2" w:rsidRDefault="004304A2" w:rsidP="004304A2">
            <w:pPr>
              <w:tabs>
                <w:tab w:val="left" w:pos="1140"/>
              </w:tabs>
              <w:spacing w:after="200" w:line="276" w:lineRule="auto"/>
              <w:rPr>
                <w:rFonts w:eastAsia="MS Mincho"/>
              </w:rPr>
            </w:pPr>
            <w:r w:rsidRPr="004304A2">
              <w:rPr>
                <w:rFonts w:eastAsia="MS Mincho"/>
              </w:rPr>
              <w:t>*</w:t>
            </w:r>
          </w:p>
        </w:tc>
        <w:tc>
          <w:tcPr>
            <w:tcW w:w="1062" w:type="dxa"/>
          </w:tcPr>
          <w:p w14:paraId="3B60C01D" w14:textId="77777777" w:rsidR="004304A2" w:rsidRPr="004304A2" w:rsidRDefault="004304A2" w:rsidP="004304A2">
            <w:pPr>
              <w:tabs>
                <w:tab w:val="left" w:pos="1140"/>
              </w:tabs>
              <w:spacing w:after="200" w:line="276" w:lineRule="auto"/>
              <w:rPr>
                <w:rFonts w:eastAsia="MS Mincho"/>
              </w:rPr>
            </w:pPr>
            <w:r w:rsidRPr="004304A2">
              <w:rPr>
                <w:rFonts w:eastAsia="MS Mincho"/>
              </w:rPr>
              <w:t>48</w:t>
            </w:r>
          </w:p>
        </w:tc>
      </w:tr>
      <w:tr w:rsidR="004304A2" w:rsidRPr="004304A2" w14:paraId="544D7FB9" w14:textId="77777777" w:rsidTr="00C93D65">
        <w:tc>
          <w:tcPr>
            <w:tcW w:w="2520" w:type="dxa"/>
            <w:vMerge/>
          </w:tcPr>
          <w:p w14:paraId="4818DA18" w14:textId="77777777" w:rsidR="004304A2" w:rsidRPr="004304A2" w:rsidRDefault="004304A2" w:rsidP="004304A2">
            <w:pPr>
              <w:tabs>
                <w:tab w:val="left" w:pos="1140"/>
              </w:tabs>
              <w:spacing w:after="200" w:line="276" w:lineRule="auto"/>
              <w:rPr>
                <w:rFonts w:eastAsia="MS Mincho"/>
              </w:rPr>
            </w:pPr>
          </w:p>
        </w:tc>
        <w:tc>
          <w:tcPr>
            <w:tcW w:w="1710" w:type="dxa"/>
          </w:tcPr>
          <w:p w14:paraId="7C739F89" w14:textId="77777777" w:rsidR="004304A2" w:rsidRPr="004304A2" w:rsidRDefault="004304A2" w:rsidP="004304A2">
            <w:pPr>
              <w:tabs>
                <w:tab w:val="left" w:pos="1140"/>
              </w:tabs>
              <w:spacing w:after="200" w:line="276" w:lineRule="auto"/>
              <w:rPr>
                <w:rFonts w:eastAsia="MS Mincho"/>
              </w:rPr>
            </w:pPr>
            <w:r w:rsidRPr="004304A2">
              <w:rPr>
                <w:rFonts w:eastAsia="MS Mincho"/>
              </w:rPr>
              <w:t>Treatment</w:t>
            </w:r>
          </w:p>
        </w:tc>
        <w:tc>
          <w:tcPr>
            <w:tcW w:w="900" w:type="dxa"/>
          </w:tcPr>
          <w:p w14:paraId="7ABC3C48" w14:textId="77777777" w:rsidR="004304A2" w:rsidRPr="004304A2" w:rsidRDefault="004304A2" w:rsidP="004304A2">
            <w:pPr>
              <w:tabs>
                <w:tab w:val="left" w:pos="1140"/>
              </w:tabs>
              <w:spacing w:after="200" w:line="276" w:lineRule="auto"/>
              <w:rPr>
                <w:rFonts w:eastAsia="MS Mincho"/>
              </w:rPr>
            </w:pPr>
            <w:r w:rsidRPr="004304A2">
              <w:rPr>
                <w:rFonts w:eastAsia="MS Mincho"/>
              </w:rPr>
              <w:t>2017</w:t>
            </w:r>
          </w:p>
        </w:tc>
        <w:tc>
          <w:tcPr>
            <w:tcW w:w="1260" w:type="dxa"/>
          </w:tcPr>
          <w:p w14:paraId="22619D8E" w14:textId="77777777" w:rsidR="004304A2" w:rsidRPr="004304A2" w:rsidRDefault="004304A2" w:rsidP="004304A2">
            <w:pPr>
              <w:tabs>
                <w:tab w:val="left" w:pos="1140"/>
              </w:tabs>
              <w:spacing w:after="200" w:line="276" w:lineRule="auto"/>
              <w:rPr>
                <w:rFonts w:eastAsia="MS Mincho"/>
              </w:rPr>
            </w:pPr>
            <w:r w:rsidRPr="004304A2">
              <w:rPr>
                <w:rFonts w:eastAsia="MS Mincho"/>
              </w:rPr>
              <w:t>154.89</w:t>
            </w:r>
          </w:p>
        </w:tc>
        <w:tc>
          <w:tcPr>
            <w:tcW w:w="1530" w:type="dxa"/>
          </w:tcPr>
          <w:p w14:paraId="15E60CC2" w14:textId="77777777" w:rsidR="004304A2" w:rsidRPr="004304A2" w:rsidRDefault="004304A2" w:rsidP="004304A2">
            <w:pPr>
              <w:tabs>
                <w:tab w:val="left" w:pos="1140"/>
              </w:tabs>
              <w:spacing w:after="200" w:line="276" w:lineRule="auto"/>
              <w:rPr>
                <w:rFonts w:eastAsia="MS Mincho"/>
              </w:rPr>
            </w:pPr>
            <w:r w:rsidRPr="004304A2">
              <w:rPr>
                <w:rFonts w:eastAsia="MS Mincho"/>
              </w:rPr>
              <w:t>168.73</w:t>
            </w:r>
          </w:p>
        </w:tc>
        <w:tc>
          <w:tcPr>
            <w:tcW w:w="1530" w:type="dxa"/>
          </w:tcPr>
          <w:p w14:paraId="35841C7C" w14:textId="77777777" w:rsidR="004304A2" w:rsidRPr="004304A2" w:rsidRDefault="004304A2" w:rsidP="004304A2">
            <w:pPr>
              <w:tabs>
                <w:tab w:val="left" w:pos="1140"/>
              </w:tabs>
              <w:spacing w:after="200" w:line="276" w:lineRule="auto"/>
              <w:rPr>
                <w:rFonts w:eastAsia="MS Mincho"/>
              </w:rPr>
            </w:pPr>
            <w:r w:rsidRPr="004304A2">
              <w:rPr>
                <w:rFonts w:eastAsia="MS Mincho"/>
              </w:rPr>
              <w:t>*</w:t>
            </w:r>
          </w:p>
        </w:tc>
        <w:tc>
          <w:tcPr>
            <w:tcW w:w="1350" w:type="dxa"/>
          </w:tcPr>
          <w:p w14:paraId="284588C1" w14:textId="77777777" w:rsidR="004304A2" w:rsidRPr="004304A2" w:rsidRDefault="004304A2" w:rsidP="004304A2">
            <w:pPr>
              <w:tabs>
                <w:tab w:val="left" w:pos="1140"/>
              </w:tabs>
              <w:spacing w:after="200" w:line="276" w:lineRule="auto"/>
              <w:rPr>
                <w:rFonts w:eastAsia="MS Mincho"/>
              </w:rPr>
            </w:pPr>
            <w:r w:rsidRPr="004304A2">
              <w:rPr>
                <w:rFonts w:eastAsia="MS Mincho"/>
              </w:rPr>
              <w:t>11.96</w:t>
            </w:r>
          </w:p>
        </w:tc>
        <w:tc>
          <w:tcPr>
            <w:tcW w:w="1440" w:type="dxa"/>
          </w:tcPr>
          <w:p w14:paraId="0E9C2770" w14:textId="77777777" w:rsidR="004304A2" w:rsidRPr="004304A2" w:rsidRDefault="004304A2" w:rsidP="004304A2">
            <w:pPr>
              <w:tabs>
                <w:tab w:val="left" w:pos="1140"/>
              </w:tabs>
              <w:spacing w:after="200" w:line="276" w:lineRule="auto"/>
              <w:rPr>
                <w:rFonts w:eastAsia="MS Mincho"/>
              </w:rPr>
            </w:pPr>
            <w:r w:rsidRPr="004304A2">
              <w:rPr>
                <w:rFonts w:eastAsia="MS Mincho"/>
              </w:rPr>
              <w:t>11.60</w:t>
            </w:r>
          </w:p>
        </w:tc>
        <w:tc>
          <w:tcPr>
            <w:tcW w:w="1440" w:type="dxa"/>
          </w:tcPr>
          <w:p w14:paraId="17A1A691" w14:textId="77777777" w:rsidR="004304A2" w:rsidRPr="004304A2" w:rsidRDefault="004304A2" w:rsidP="004304A2">
            <w:pPr>
              <w:tabs>
                <w:tab w:val="left" w:pos="1140"/>
              </w:tabs>
              <w:spacing w:after="200" w:line="276" w:lineRule="auto"/>
              <w:rPr>
                <w:rFonts w:eastAsia="MS Mincho"/>
              </w:rPr>
            </w:pPr>
            <w:r w:rsidRPr="004304A2">
              <w:rPr>
                <w:rFonts w:eastAsia="MS Mincho"/>
              </w:rPr>
              <w:t>*</w:t>
            </w:r>
          </w:p>
        </w:tc>
        <w:tc>
          <w:tcPr>
            <w:tcW w:w="1062" w:type="dxa"/>
          </w:tcPr>
          <w:p w14:paraId="2F7FC8F7" w14:textId="77777777" w:rsidR="004304A2" w:rsidRPr="004304A2" w:rsidRDefault="004304A2" w:rsidP="004304A2">
            <w:pPr>
              <w:tabs>
                <w:tab w:val="left" w:pos="1140"/>
              </w:tabs>
              <w:spacing w:after="200" w:line="276" w:lineRule="auto"/>
              <w:rPr>
                <w:rFonts w:eastAsia="MS Mincho"/>
              </w:rPr>
            </w:pPr>
            <w:r w:rsidRPr="004304A2">
              <w:rPr>
                <w:rFonts w:eastAsia="MS Mincho"/>
              </w:rPr>
              <w:t>55</w:t>
            </w:r>
          </w:p>
        </w:tc>
      </w:tr>
      <w:tr w:rsidR="004304A2" w:rsidRPr="004304A2" w14:paraId="2EE324A4" w14:textId="77777777" w:rsidTr="00C93D65">
        <w:tc>
          <w:tcPr>
            <w:tcW w:w="2520" w:type="dxa"/>
            <w:vMerge w:val="restart"/>
          </w:tcPr>
          <w:p w14:paraId="3C29CDCD" w14:textId="77777777" w:rsidR="004304A2" w:rsidRPr="004304A2" w:rsidRDefault="004304A2" w:rsidP="004304A2">
            <w:pPr>
              <w:tabs>
                <w:tab w:val="left" w:pos="1140"/>
              </w:tabs>
              <w:spacing w:after="200" w:line="276" w:lineRule="auto"/>
              <w:rPr>
                <w:rFonts w:eastAsia="MS Mincho"/>
              </w:rPr>
            </w:pPr>
            <w:r w:rsidRPr="004304A2">
              <w:rPr>
                <w:rFonts w:eastAsia="MS Mincho"/>
              </w:rPr>
              <w:t xml:space="preserve">First-Grade Reading </w:t>
            </w:r>
          </w:p>
        </w:tc>
        <w:tc>
          <w:tcPr>
            <w:tcW w:w="1710" w:type="dxa"/>
          </w:tcPr>
          <w:p w14:paraId="2AC8F309" w14:textId="77777777" w:rsidR="004304A2" w:rsidRPr="004304A2" w:rsidRDefault="004304A2" w:rsidP="004304A2">
            <w:pPr>
              <w:tabs>
                <w:tab w:val="left" w:pos="1140"/>
              </w:tabs>
              <w:spacing w:after="200" w:line="276" w:lineRule="auto"/>
              <w:rPr>
                <w:rFonts w:eastAsia="MS Mincho"/>
              </w:rPr>
            </w:pPr>
            <w:r w:rsidRPr="004304A2">
              <w:rPr>
                <w:rFonts w:eastAsia="MS Mincho"/>
              </w:rPr>
              <w:t>Comparison</w:t>
            </w:r>
          </w:p>
        </w:tc>
        <w:tc>
          <w:tcPr>
            <w:tcW w:w="900" w:type="dxa"/>
          </w:tcPr>
          <w:p w14:paraId="7A2077A2" w14:textId="77777777" w:rsidR="004304A2" w:rsidRPr="004304A2" w:rsidRDefault="004304A2" w:rsidP="004304A2">
            <w:pPr>
              <w:tabs>
                <w:tab w:val="left" w:pos="1140"/>
              </w:tabs>
              <w:spacing w:after="200" w:line="276" w:lineRule="auto"/>
              <w:rPr>
                <w:rFonts w:eastAsia="MS Mincho"/>
              </w:rPr>
            </w:pPr>
            <w:r w:rsidRPr="004304A2">
              <w:rPr>
                <w:rFonts w:eastAsia="MS Mincho"/>
              </w:rPr>
              <w:t>2015</w:t>
            </w:r>
          </w:p>
        </w:tc>
        <w:tc>
          <w:tcPr>
            <w:tcW w:w="1260" w:type="dxa"/>
          </w:tcPr>
          <w:p w14:paraId="4A9A7A1C" w14:textId="77777777" w:rsidR="004304A2" w:rsidRPr="004304A2" w:rsidRDefault="004304A2" w:rsidP="004304A2">
            <w:pPr>
              <w:tabs>
                <w:tab w:val="left" w:pos="1140"/>
              </w:tabs>
              <w:spacing w:after="200" w:line="276" w:lineRule="auto"/>
              <w:rPr>
                <w:rFonts w:eastAsia="MS Mincho"/>
              </w:rPr>
            </w:pPr>
            <w:r w:rsidRPr="004304A2">
              <w:rPr>
                <w:rFonts w:eastAsia="MS Mincho"/>
              </w:rPr>
              <w:t>158.21</w:t>
            </w:r>
          </w:p>
        </w:tc>
        <w:tc>
          <w:tcPr>
            <w:tcW w:w="1530" w:type="dxa"/>
          </w:tcPr>
          <w:p w14:paraId="234B728B" w14:textId="77777777" w:rsidR="004304A2" w:rsidRPr="004304A2" w:rsidRDefault="004304A2" w:rsidP="004304A2">
            <w:pPr>
              <w:tabs>
                <w:tab w:val="left" w:pos="1140"/>
              </w:tabs>
              <w:spacing w:after="200" w:line="276" w:lineRule="auto"/>
              <w:rPr>
                <w:rFonts w:eastAsia="MS Mincho"/>
              </w:rPr>
            </w:pPr>
            <w:r w:rsidRPr="004304A2">
              <w:rPr>
                <w:rFonts w:eastAsia="MS Mincho"/>
              </w:rPr>
              <w:t>167.15</w:t>
            </w:r>
          </w:p>
        </w:tc>
        <w:tc>
          <w:tcPr>
            <w:tcW w:w="1530" w:type="dxa"/>
          </w:tcPr>
          <w:p w14:paraId="20760754" w14:textId="77777777" w:rsidR="004304A2" w:rsidRPr="004304A2" w:rsidRDefault="004304A2" w:rsidP="004304A2">
            <w:pPr>
              <w:tabs>
                <w:tab w:val="left" w:pos="1140"/>
              </w:tabs>
              <w:spacing w:after="200" w:line="276" w:lineRule="auto"/>
              <w:rPr>
                <w:rFonts w:eastAsia="MS Mincho"/>
              </w:rPr>
            </w:pPr>
            <w:r w:rsidRPr="004304A2">
              <w:rPr>
                <w:rFonts w:eastAsia="MS Mincho"/>
              </w:rPr>
              <w:t>*</w:t>
            </w:r>
          </w:p>
        </w:tc>
        <w:tc>
          <w:tcPr>
            <w:tcW w:w="1350" w:type="dxa"/>
          </w:tcPr>
          <w:p w14:paraId="6B03EA45" w14:textId="77777777" w:rsidR="004304A2" w:rsidRPr="004304A2" w:rsidRDefault="004304A2" w:rsidP="004304A2">
            <w:pPr>
              <w:tabs>
                <w:tab w:val="left" w:pos="1140"/>
              </w:tabs>
              <w:spacing w:after="200" w:line="276" w:lineRule="auto"/>
              <w:rPr>
                <w:rFonts w:eastAsia="MS Mincho"/>
              </w:rPr>
            </w:pPr>
            <w:r w:rsidRPr="004304A2">
              <w:rPr>
                <w:rFonts w:eastAsia="MS Mincho"/>
              </w:rPr>
              <w:t>10.12</w:t>
            </w:r>
          </w:p>
        </w:tc>
        <w:tc>
          <w:tcPr>
            <w:tcW w:w="1440" w:type="dxa"/>
          </w:tcPr>
          <w:p w14:paraId="103F4138" w14:textId="77777777" w:rsidR="004304A2" w:rsidRPr="004304A2" w:rsidRDefault="004304A2" w:rsidP="004304A2">
            <w:pPr>
              <w:tabs>
                <w:tab w:val="left" w:pos="1140"/>
              </w:tabs>
              <w:spacing w:after="200" w:line="276" w:lineRule="auto"/>
              <w:rPr>
                <w:rFonts w:eastAsia="MS Mincho"/>
              </w:rPr>
            </w:pPr>
            <w:r w:rsidRPr="004304A2">
              <w:rPr>
                <w:rFonts w:eastAsia="MS Mincho"/>
              </w:rPr>
              <w:t>11.03</w:t>
            </w:r>
          </w:p>
        </w:tc>
        <w:tc>
          <w:tcPr>
            <w:tcW w:w="1440" w:type="dxa"/>
          </w:tcPr>
          <w:p w14:paraId="65B5C766" w14:textId="77777777" w:rsidR="004304A2" w:rsidRPr="004304A2" w:rsidRDefault="004304A2" w:rsidP="004304A2">
            <w:pPr>
              <w:tabs>
                <w:tab w:val="left" w:pos="1140"/>
              </w:tabs>
              <w:spacing w:after="200" w:line="276" w:lineRule="auto"/>
              <w:rPr>
                <w:rFonts w:eastAsia="MS Mincho"/>
              </w:rPr>
            </w:pPr>
            <w:r w:rsidRPr="004304A2">
              <w:rPr>
                <w:rFonts w:eastAsia="MS Mincho"/>
              </w:rPr>
              <w:t>*</w:t>
            </w:r>
          </w:p>
        </w:tc>
        <w:tc>
          <w:tcPr>
            <w:tcW w:w="1062" w:type="dxa"/>
          </w:tcPr>
          <w:p w14:paraId="09AF8DE4" w14:textId="77777777" w:rsidR="004304A2" w:rsidRPr="004304A2" w:rsidRDefault="004304A2" w:rsidP="004304A2">
            <w:pPr>
              <w:tabs>
                <w:tab w:val="left" w:pos="1140"/>
              </w:tabs>
              <w:spacing w:after="200" w:line="276" w:lineRule="auto"/>
              <w:rPr>
                <w:rFonts w:eastAsia="MS Mincho"/>
              </w:rPr>
            </w:pPr>
            <w:r w:rsidRPr="004304A2">
              <w:rPr>
                <w:rFonts w:eastAsia="MS Mincho"/>
              </w:rPr>
              <w:t>48</w:t>
            </w:r>
          </w:p>
        </w:tc>
      </w:tr>
      <w:tr w:rsidR="004304A2" w:rsidRPr="004304A2" w14:paraId="49DE3D1A" w14:textId="77777777" w:rsidTr="00C93D65">
        <w:tc>
          <w:tcPr>
            <w:tcW w:w="2520" w:type="dxa"/>
            <w:vMerge/>
          </w:tcPr>
          <w:p w14:paraId="5B0185FD" w14:textId="77777777" w:rsidR="004304A2" w:rsidRPr="004304A2" w:rsidRDefault="004304A2" w:rsidP="004304A2">
            <w:pPr>
              <w:tabs>
                <w:tab w:val="left" w:pos="1140"/>
              </w:tabs>
              <w:spacing w:after="200" w:line="276" w:lineRule="auto"/>
              <w:rPr>
                <w:rFonts w:eastAsia="MS Mincho"/>
              </w:rPr>
            </w:pPr>
          </w:p>
        </w:tc>
        <w:tc>
          <w:tcPr>
            <w:tcW w:w="1710" w:type="dxa"/>
          </w:tcPr>
          <w:p w14:paraId="647E0FA7" w14:textId="77777777" w:rsidR="004304A2" w:rsidRPr="004304A2" w:rsidRDefault="004304A2" w:rsidP="004304A2">
            <w:pPr>
              <w:tabs>
                <w:tab w:val="left" w:pos="1140"/>
              </w:tabs>
              <w:spacing w:after="200" w:line="276" w:lineRule="auto"/>
              <w:rPr>
                <w:rFonts w:eastAsia="MS Mincho"/>
              </w:rPr>
            </w:pPr>
            <w:r w:rsidRPr="004304A2">
              <w:rPr>
                <w:rFonts w:eastAsia="MS Mincho"/>
              </w:rPr>
              <w:t>Treatment</w:t>
            </w:r>
          </w:p>
        </w:tc>
        <w:tc>
          <w:tcPr>
            <w:tcW w:w="900" w:type="dxa"/>
          </w:tcPr>
          <w:p w14:paraId="532B6437" w14:textId="77777777" w:rsidR="004304A2" w:rsidRPr="004304A2" w:rsidRDefault="004304A2" w:rsidP="004304A2">
            <w:pPr>
              <w:tabs>
                <w:tab w:val="left" w:pos="1140"/>
              </w:tabs>
              <w:spacing w:after="200" w:line="276" w:lineRule="auto"/>
              <w:rPr>
                <w:rFonts w:eastAsia="MS Mincho"/>
              </w:rPr>
            </w:pPr>
            <w:r w:rsidRPr="004304A2">
              <w:rPr>
                <w:rFonts w:eastAsia="MS Mincho"/>
              </w:rPr>
              <w:t>2017</w:t>
            </w:r>
          </w:p>
        </w:tc>
        <w:tc>
          <w:tcPr>
            <w:tcW w:w="1260" w:type="dxa"/>
          </w:tcPr>
          <w:p w14:paraId="42B0770F" w14:textId="77777777" w:rsidR="004304A2" w:rsidRPr="004304A2" w:rsidRDefault="004304A2" w:rsidP="004304A2">
            <w:pPr>
              <w:tabs>
                <w:tab w:val="left" w:pos="1140"/>
              </w:tabs>
              <w:spacing w:after="200" w:line="276" w:lineRule="auto"/>
              <w:rPr>
                <w:rFonts w:eastAsia="MS Mincho"/>
              </w:rPr>
            </w:pPr>
            <w:r w:rsidRPr="004304A2">
              <w:rPr>
                <w:rFonts w:eastAsia="MS Mincho"/>
              </w:rPr>
              <w:t>155.64</w:t>
            </w:r>
          </w:p>
        </w:tc>
        <w:tc>
          <w:tcPr>
            <w:tcW w:w="1530" w:type="dxa"/>
          </w:tcPr>
          <w:p w14:paraId="06D45591" w14:textId="77777777" w:rsidR="004304A2" w:rsidRPr="004304A2" w:rsidRDefault="004304A2" w:rsidP="004304A2">
            <w:pPr>
              <w:tabs>
                <w:tab w:val="left" w:pos="1140"/>
              </w:tabs>
              <w:spacing w:after="200" w:line="276" w:lineRule="auto"/>
              <w:rPr>
                <w:rFonts w:eastAsia="MS Mincho"/>
              </w:rPr>
            </w:pPr>
            <w:r w:rsidRPr="004304A2">
              <w:rPr>
                <w:rFonts w:eastAsia="MS Mincho"/>
              </w:rPr>
              <w:t>165.22</w:t>
            </w:r>
          </w:p>
        </w:tc>
        <w:tc>
          <w:tcPr>
            <w:tcW w:w="1530" w:type="dxa"/>
          </w:tcPr>
          <w:p w14:paraId="1AE34A5C" w14:textId="77777777" w:rsidR="004304A2" w:rsidRPr="004304A2" w:rsidRDefault="004304A2" w:rsidP="004304A2">
            <w:pPr>
              <w:tabs>
                <w:tab w:val="left" w:pos="1140"/>
              </w:tabs>
              <w:spacing w:after="200" w:line="276" w:lineRule="auto"/>
              <w:rPr>
                <w:rFonts w:eastAsia="MS Mincho"/>
              </w:rPr>
            </w:pPr>
            <w:r w:rsidRPr="004304A2">
              <w:rPr>
                <w:rFonts w:eastAsia="MS Mincho"/>
              </w:rPr>
              <w:t>*</w:t>
            </w:r>
          </w:p>
        </w:tc>
        <w:tc>
          <w:tcPr>
            <w:tcW w:w="1350" w:type="dxa"/>
          </w:tcPr>
          <w:p w14:paraId="1CA8651F" w14:textId="77777777" w:rsidR="004304A2" w:rsidRPr="004304A2" w:rsidRDefault="004304A2" w:rsidP="004304A2">
            <w:pPr>
              <w:tabs>
                <w:tab w:val="left" w:pos="1140"/>
              </w:tabs>
              <w:spacing w:after="200" w:line="276" w:lineRule="auto"/>
              <w:rPr>
                <w:rFonts w:eastAsia="MS Mincho"/>
              </w:rPr>
            </w:pPr>
            <w:r w:rsidRPr="004304A2">
              <w:rPr>
                <w:rFonts w:eastAsia="MS Mincho"/>
              </w:rPr>
              <w:t>10.65</w:t>
            </w:r>
          </w:p>
        </w:tc>
        <w:tc>
          <w:tcPr>
            <w:tcW w:w="1440" w:type="dxa"/>
          </w:tcPr>
          <w:p w14:paraId="033C047F" w14:textId="77777777" w:rsidR="004304A2" w:rsidRPr="004304A2" w:rsidRDefault="004304A2" w:rsidP="004304A2">
            <w:pPr>
              <w:tabs>
                <w:tab w:val="left" w:pos="1140"/>
              </w:tabs>
              <w:spacing w:after="200" w:line="276" w:lineRule="auto"/>
              <w:rPr>
                <w:rFonts w:eastAsia="MS Mincho"/>
              </w:rPr>
            </w:pPr>
            <w:r w:rsidRPr="004304A2">
              <w:rPr>
                <w:rFonts w:eastAsia="MS Mincho"/>
              </w:rPr>
              <w:t>10.95</w:t>
            </w:r>
          </w:p>
        </w:tc>
        <w:tc>
          <w:tcPr>
            <w:tcW w:w="1440" w:type="dxa"/>
          </w:tcPr>
          <w:p w14:paraId="30853263" w14:textId="77777777" w:rsidR="004304A2" w:rsidRPr="004304A2" w:rsidRDefault="004304A2" w:rsidP="004304A2">
            <w:pPr>
              <w:tabs>
                <w:tab w:val="left" w:pos="1140"/>
              </w:tabs>
              <w:spacing w:after="200" w:line="276" w:lineRule="auto"/>
              <w:rPr>
                <w:rFonts w:eastAsia="MS Mincho"/>
              </w:rPr>
            </w:pPr>
            <w:r w:rsidRPr="004304A2">
              <w:rPr>
                <w:rFonts w:eastAsia="MS Mincho"/>
              </w:rPr>
              <w:t>*</w:t>
            </w:r>
          </w:p>
        </w:tc>
        <w:tc>
          <w:tcPr>
            <w:tcW w:w="1062" w:type="dxa"/>
          </w:tcPr>
          <w:p w14:paraId="00EAC6EE" w14:textId="77777777" w:rsidR="004304A2" w:rsidRPr="004304A2" w:rsidRDefault="004304A2" w:rsidP="004304A2">
            <w:pPr>
              <w:tabs>
                <w:tab w:val="left" w:pos="1140"/>
              </w:tabs>
              <w:spacing w:after="200" w:line="276" w:lineRule="auto"/>
              <w:rPr>
                <w:rFonts w:eastAsia="MS Mincho"/>
              </w:rPr>
            </w:pPr>
            <w:r w:rsidRPr="004304A2">
              <w:rPr>
                <w:rFonts w:eastAsia="MS Mincho"/>
              </w:rPr>
              <w:t>55</w:t>
            </w:r>
          </w:p>
        </w:tc>
      </w:tr>
      <w:tr w:rsidR="004304A2" w:rsidRPr="004304A2" w14:paraId="5EC544AA" w14:textId="77777777" w:rsidTr="00C93D65">
        <w:tc>
          <w:tcPr>
            <w:tcW w:w="2520" w:type="dxa"/>
            <w:vMerge w:val="restart"/>
          </w:tcPr>
          <w:p w14:paraId="6DDAE177" w14:textId="77777777" w:rsidR="004304A2" w:rsidRPr="004304A2" w:rsidRDefault="004304A2" w:rsidP="004304A2">
            <w:pPr>
              <w:tabs>
                <w:tab w:val="left" w:pos="1140"/>
              </w:tabs>
              <w:spacing w:after="200" w:line="276" w:lineRule="auto"/>
              <w:rPr>
                <w:rFonts w:eastAsia="MS Mincho"/>
              </w:rPr>
            </w:pPr>
            <w:r w:rsidRPr="004304A2">
              <w:rPr>
                <w:rFonts w:eastAsia="MS Mincho"/>
              </w:rPr>
              <w:t xml:space="preserve">Second-Grade Math </w:t>
            </w:r>
          </w:p>
        </w:tc>
        <w:tc>
          <w:tcPr>
            <w:tcW w:w="1710" w:type="dxa"/>
          </w:tcPr>
          <w:p w14:paraId="0108816E" w14:textId="77777777" w:rsidR="004304A2" w:rsidRPr="004304A2" w:rsidRDefault="004304A2" w:rsidP="004304A2">
            <w:pPr>
              <w:tabs>
                <w:tab w:val="left" w:pos="1140"/>
              </w:tabs>
              <w:spacing w:after="200" w:line="276" w:lineRule="auto"/>
              <w:rPr>
                <w:rFonts w:eastAsia="MS Mincho"/>
              </w:rPr>
            </w:pPr>
            <w:r w:rsidRPr="004304A2">
              <w:rPr>
                <w:rFonts w:eastAsia="MS Mincho"/>
              </w:rPr>
              <w:t>Comparison</w:t>
            </w:r>
          </w:p>
        </w:tc>
        <w:tc>
          <w:tcPr>
            <w:tcW w:w="900" w:type="dxa"/>
          </w:tcPr>
          <w:p w14:paraId="3E59FB5A" w14:textId="77777777" w:rsidR="004304A2" w:rsidRPr="004304A2" w:rsidRDefault="004304A2" w:rsidP="004304A2">
            <w:pPr>
              <w:tabs>
                <w:tab w:val="left" w:pos="1140"/>
              </w:tabs>
              <w:spacing w:after="200" w:line="276" w:lineRule="auto"/>
              <w:rPr>
                <w:rFonts w:eastAsia="MS Mincho"/>
              </w:rPr>
            </w:pPr>
            <w:r w:rsidRPr="004304A2">
              <w:rPr>
                <w:rFonts w:eastAsia="MS Mincho"/>
              </w:rPr>
              <w:t>2015</w:t>
            </w:r>
          </w:p>
        </w:tc>
        <w:tc>
          <w:tcPr>
            <w:tcW w:w="1260" w:type="dxa"/>
          </w:tcPr>
          <w:p w14:paraId="1D0C93D9" w14:textId="77777777" w:rsidR="004304A2" w:rsidRPr="004304A2" w:rsidRDefault="004304A2" w:rsidP="004304A2">
            <w:pPr>
              <w:tabs>
                <w:tab w:val="left" w:pos="1140"/>
              </w:tabs>
              <w:spacing w:after="200" w:line="276" w:lineRule="auto"/>
              <w:rPr>
                <w:rFonts w:eastAsia="MS Mincho"/>
              </w:rPr>
            </w:pPr>
            <w:r w:rsidRPr="004304A2">
              <w:rPr>
                <w:rFonts w:eastAsia="MS Mincho"/>
              </w:rPr>
              <w:t>170.47</w:t>
            </w:r>
          </w:p>
        </w:tc>
        <w:tc>
          <w:tcPr>
            <w:tcW w:w="1530" w:type="dxa"/>
          </w:tcPr>
          <w:p w14:paraId="0690BD35" w14:textId="77777777" w:rsidR="004304A2" w:rsidRPr="004304A2" w:rsidRDefault="004304A2" w:rsidP="004304A2">
            <w:pPr>
              <w:tabs>
                <w:tab w:val="left" w:pos="1140"/>
              </w:tabs>
              <w:spacing w:after="200" w:line="276" w:lineRule="auto"/>
              <w:rPr>
                <w:rFonts w:eastAsia="MS Mincho"/>
              </w:rPr>
            </w:pPr>
            <w:r w:rsidRPr="004304A2">
              <w:rPr>
                <w:rFonts w:eastAsia="MS Mincho"/>
              </w:rPr>
              <w:t>181.60</w:t>
            </w:r>
          </w:p>
        </w:tc>
        <w:tc>
          <w:tcPr>
            <w:tcW w:w="1530" w:type="dxa"/>
          </w:tcPr>
          <w:p w14:paraId="79B757C4" w14:textId="77777777" w:rsidR="004304A2" w:rsidRPr="004304A2" w:rsidRDefault="004304A2" w:rsidP="004304A2">
            <w:pPr>
              <w:tabs>
                <w:tab w:val="left" w:pos="1140"/>
              </w:tabs>
              <w:spacing w:after="200" w:line="276" w:lineRule="auto"/>
              <w:rPr>
                <w:rFonts w:eastAsia="MS Mincho"/>
              </w:rPr>
            </w:pPr>
            <w:r w:rsidRPr="004304A2">
              <w:rPr>
                <w:rFonts w:eastAsia="MS Mincho"/>
              </w:rPr>
              <w:t>190.92</w:t>
            </w:r>
          </w:p>
        </w:tc>
        <w:tc>
          <w:tcPr>
            <w:tcW w:w="1350" w:type="dxa"/>
          </w:tcPr>
          <w:p w14:paraId="09AEFF48" w14:textId="77777777" w:rsidR="004304A2" w:rsidRPr="004304A2" w:rsidRDefault="004304A2" w:rsidP="004304A2">
            <w:pPr>
              <w:tabs>
                <w:tab w:val="left" w:pos="1140"/>
              </w:tabs>
              <w:spacing w:after="200" w:line="276" w:lineRule="auto"/>
              <w:rPr>
                <w:rFonts w:eastAsia="MS Mincho"/>
              </w:rPr>
            </w:pPr>
            <w:r w:rsidRPr="004304A2">
              <w:rPr>
                <w:rFonts w:eastAsia="MS Mincho"/>
              </w:rPr>
              <w:t>12.38</w:t>
            </w:r>
          </w:p>
        </w:tc>
        <w:tc>
          <w:tcPr>
            <w:tcW w:w="1440" w:type="dxa"/>
          </w:tcPr>
          <w:p w14:paraId="1984110D" w14:textId="77777777" w:rsidR="004304A2" w:rsidRPr="004304A2" w:rsidRDefault="004304A2" w:rsidP="004304A2">
            <w:pPr>
              <w:tabs>
                <w:tab w:val="left" w:pos="1140"/>
              </w:tabs>
              <w:spacing w:after="200" w:line="276" w:lineRule="auto"/>
              <w:rPr>
                <w:rFonts w:eastAsia="MS Mincho"/>
              </w:rPr>
            </w:pPr>
            <w:r w:rsidRPr="004304A2">
              <w:rPr>
                <w:rFonts w:eastAsia="MS Mincho"/>
              </w:rPr>
              <w:t>11.04</w:t>
            </w:r>
          </w:p>
        </w:tc>
        <w:tc>
          <w:tcPr>
            <w:tcW w:w="1440" w:type="dxa"/>
          </w:tcPr>
          <w:p w14:paraId="7A8ED36C" w14:textId="77777777" w:rsidR="004304A2" w:rsidRPr="004304A2" w:rsidRDefault="004304A2" w:rsidP="004304A2">
            <w:pPr>
              <w:tabs>
                <w:tab w:val="left" w:pos="1140"/>
              </w:tabs>
              <w:spacing w:after="200" w:line="276" w:lineRule="auto"/>
              <w:rPr>
                <w:rFonts w:eastAsia="MS Mincho"/>
              </w:rPr>
            </w:pPr>
            <w:r w:rsidRPr="004304A2">
              <w:rPr>
                <w:rFonts w:eastAsia="MS Mincho"/>
              </w:rPr>
              <w:t>11.23</w:t>
            </w:r>
          </w:p>
        </w:tc>
        <w:tc>
          <w:tcPr>
            <w:tcW w:w="1062" w:type="dxa"/>
          </w:tcPr>
          <w:p w14:paraId="5451BCCF" w14:textId="77777777" w:rsidR="004304A2" w:rsidRPr="004304A2" w:rsidRDefault="004304A2" w:rsidP="004304A2">
            <w:pPr>
              <w:tabs>
                <w:tab w:val="left" w:pos="1140"/>
              </w:tabs>
              <w:spacing w:after="200" w:line="276" w:lineRule="auto"/>
              <w:rPr>
                <w:rFonts w:eastAsia="MS Mincho"/>
              </w:rPr>
            </w:pPr>
            <w:r w:rsidRPr="004304A2">
              <w:rPr>
                <w:rFonts w:eastAsia="MS Mincho"/>
              </w:rPr>
              <w:t>73</w:t>
            </w:r>
          </w:p>
        </w:tc>
      </w:tr>
      <w:tr w:rsidR="004304A2" w:rsidRPr="004304A2" w14:paraId="108EA627" w14:textId="77777777" w:rsidTr="00C93D65">
        <w:tc>
          <w:tcPr>
            <w:tcW w:w="2520" w:type="dxa"/>
            <w:vMerge/>
          </w:tcPr>
          <w:p w14:paraId="50E80413" w14:textId="77777777" w:rsidR="004304A2" w:rsidRPr="004304A2" w:rsidRDefault="004304A2" w:rsidP="004304A2">
            <w:pPr>
              <w:tabs>
                <w:tab w:val="left" w:pos="1140"/>
              </w:tabs>
              <w:spacing w:after="200" w:line="276" w:lineRule="auto"/>
              <w:rPr>
                <w:rFonts w:eastAsia="MS Mincho"/>
              </w:rPr>
            </w:pPr>
          </w:p>
        </w:tc>
        <w:tc>
          <w:tcPr>
            <w:tcW w:w="1710" w:type="dxa"/>
          </w:tcPr>
          <w:p w14:paraId="6FF13054" w14:textId="77777777" w:rsidR="004304A2" w:rsidRPr="004304A2" w:rsidRDefault="004304A2" w:rsidP="004304A2">
            <w:pPr>
              <w:tabs>
                <w:tab w:val="left" w:pos="1140"/>
              </w:tabs>
              <w:spacing w:after="200" w:line="276" w:lineRule="auto"/>
              <w:rPr>
                <w:rFonts w:eastAsia="MS Mincho"/>
              </w:rPr>
            </w:pPr>
            <w:r w:rsidRPr="004304A2">
              <w:rPr>
                <w:rFonts w:eastAsia="MS Mincho"/>
              </w:rPr>
              <w:t>Treatment</w:t>
            </w:r>
          </w:p>
        </w:tc>
        <w:tc>
          <w:tcPr>
            <w:tcW w:w="900" w:type="dxa"/>
          </w:tcPr>
          <w:p w14:paraId="12D80825" w14:textId="77777777" w:rsidR="004304A2" w:rsidRPr="004304A2" w:rsidRDefault="004304A2" w:rsidP="004304A2">
            <w:pPr>
              <w:tabs>
                <w:tab w:val="left" w:pos="1140"/>
              </w:tabs>
              <w:spacing w:after="200" w:line="276" w:lineRule="auto"/>
              <w:rPr>
                <w:rFonts w:eastAsia="MS Mincho"/>
              </w:rPr>
            </w:pPr>
            <w:r w:rsidRPr="004304A2">
              <w:rPr>
                <w:rFonts w:eastAsia="MS Mincho"/>
              </w:rPr>
              <w:t>2016</w:t>
            </w:r>
          </w:p>
        </w:tc>
        <w:tc>
          <w:tcPr>
            <w:tcW w:w="1260" w:type="dxa"/>
          </w:tcPr>
          <w:p w14:paraId="04BD3036" w14:textId="77777777" w:rsidR="004304A2" w:rsidRPr="004304A2" w:rsidRDefault="004304A2" w:rsidP="004304A2">
            <w:pPr>
              <w:tabs>
                <w:tab w:val="left" w:pos="1140"/>
              </w:tabs>
              <w:spacing w:after="200" w:line="276" w:lineRule="auto"/>
              <w:rPr>
                <w:rFonts w:eastAsia="MS Mincho"/>
              </w:rPr>
            </w:pPr>
            <w:r w:rsidRPr="004304A2">
              <w:rPr>
                <w:rFonts w:eastAsia="MS Mincho"/>
              </w:rPr>
              <w:t>176.49</w:t>
            </w:r>
          </w:p>
        </w:tc>
        <w:tc>
          <w:tcPr>
            <w:tcW w:w="1530" w:type="dxa"/>
          </w:tcPr>
          <w:p w14:paraId="68EF4701" w14:textId="77777777" w:rsidR="004304A2" w:rsidRPr="004304A2" w:rsidRDefault="004304A2" w:rsidP="004304A2">
            <w:pPr>
              <w:tabs>
                <w:tab w:val="left" w:pos="1140"/>
              </w:tabs>
              <w:spacing w:after="200" w:line="276" w:lineRule="auto"/>
              <w:rPr>
                <w:rFonts w:eastAsia="MS Mincho"/>
              </w:rPr>
            </w:pPr>
            <w:r w:rsidRPr="004304A2">
              <w:rPr>
                <w:rFonts w:eastAsia="MS Mincho"/>
              </w:rPr>
              <w:t>187.12</w:t>
            </w:r>
          </w:p>
        </w:tc>
        <w:tc>
          <w:tcPr>
            <w:tcW w:w="1530" w:type="dxa"/>
          </w:tcPr>
          <w:p w14:paraId="3E83E4D4" w14:textId="77777777" w:rsidR="004304A2" w:rsidRPr="004304A2" w:rsidRDefault="004304A2" w:rsidP="004304A2">
            <w:pPr>
              <w:tabs>
                <w:tab w:val="left" w:pos="1140"/>
              </w:tabs>
              <w:spacing w:after="200" w:line="276" w:lineRule="auto"/>
              <w:rPr>
                <w:rFonts w:eastAsia="MS Mincho"/>
              </w:rPr>
            </w:pPr>
            <w:r w:rsidRPr="004304A2">
              <w:rPr>
                <w:rFonts w:eastAsia="MS Mincho"/>
              </w:rPr>
              <w:t>196.71</w:t>
            </w:r>
          </w:p>
        </w:tc>
        <w:tc>
          <w:tcPr>
            <w:tcW w:w="1350" w:type="dxa"/>
          </w:tcPr>
          <w:p w14:paraId="64EE6F55" w14:textId="77777777" w:rsidR="004304A2" w:rsidRPr="004304A2" w:rsidRDefault="004304A2" w:rsidP="004304A2">
            <w:pPr>
              <w:tabs>
                <w:tab w:val="left" w:pos="1140"/>
              </w:tabs>
              <w:spacing w:after="200" w:line="276" w:lineRule="auto"/>
              <w:rPr>
                <w:rFonts w:eastAsia="MS Mincho"/>
              </w:rPr>
            </w:pPr>
            <w:r w:rsidRPr="004304A2">
              <w:rPr>
                <w:rFonts w:eastAsia="MS Mincho"/>
              </w:rPr>
              <w:t>11.28</w:t>
            </w:r>
          </w:p>
        </w:tc>
        <w:tc>
          <w:tcPr>
            <w:tcW w:w="1440" w:type="dxa"/>
          </w:tcPr>
          <w:p w14:paraId="2A31F34F" w14:textId="77777777" w:rsidR="004304A2" w:rsidRPr="004304A2" w:rsidRDefault="004304A2" w:rsidP="004304A2">
            <w:pPr>
              <w:tabs>
                <w:tab w:val="left" w:pos="1140"/>
              </w:tabs>
              <w:spacing w:after="200" w:line="276" w:lineRule="auto"/>
              <w:rPr>
                <w:rFonts w:eastAsia="MS Mincho"/>
              </w:rPr>
            </w:pPr>
            <w:r w:rsidRPr="004304A2">
              <w:rPr>
                <w:rFonts w:eastAsia="MS Mincho"/>
              </w:rPr>
              <w:t>8.54</w:t>
            </w:r>
          </w:p>
        </w:tc>
        <w:tc>
          <w:tcPr>
            <w:tcW w:w="1440" w:type="dxa"/>
          </w:tcPr>
          <w:p w14:paraId="594FF8F6" w14:textId="77777777" w:rsidR="004304A2" w:rsidRPr="004304A2" w:rsidRDefault="004304A2" w:rsidP="004304A2">
            <w:pPr>
              <w:tabs>
                <w:tab w:val="left" w:pos="1140"/>
              </w:tabs>
              <w:spacing w:after="200" w:line="276" w:lineRule="auto"/>
              <w:rPr>
                <w:rFonts w:eastAsia="MS Mincho"/>
              </w:rPr>
            </w:pPr>
            <w:r w:rsidRPr="004304A2">
              <w:rPr>
                <w:rFonts w:eastAsia="MS Mincho"/>
              </w:rPr>
              <w:t>8.12</w:t>
            </w:r>
          </w:p>
        </w:tc>
        <w:tc>
          <w:tcPr>
            <w:tcW w:w="1062" w:type="dxa"/>
          </w:tcPr>
          <w:p w14:paraId="6C0ED858" w14:textId="77777777" w:rsidR="004304A2" w:rsidRPr="004304A2" w:rsidRDefault="004304A2" w:rsidP="004304A2">
            <w:pPr>
              <w:tabs>
                <w:tab w:val="left" w:pos="1140"/>
              </w:tabs>
              <w:spacing w:after="200" w:line="276" w:lineRule="auto"/>
              <w:rPr>
                <w:rFonts w:eastAsia="MS Mincho"/>
              </w:rPr>
            </w:pPr>
            <w:r w:rsidRPr="004304A2">
              <w:rPr>
                <w:rFonts w:eastAsia="MS Mincho"/>
              </w:rPr>
              <w:t>49</w:t>
            </w:r>
          </w:p>
        </w:tc>
      </w:tr>
      <w:tr w:rsidR="004304A2" w:rsidRPr="004304A2" w14:paraId="3B4E3204" w14:textId="77777777" w:rsidTr="00C93D65">
        <w:tc>
          <w:tcPr>
            <w:tcW w:w="2520" w:type="dxa"/>
            <w:vMerge w:val="restart"/>
          </w:tcPr>
          <w:p w14:paraId="4B88D526" w14:textId="77777777" w:rsidR="004304A2" w:rsidRPr="004304A2" w:rsidRDefault="004304A2" w:rsidP="004304A2">
            <w:pPr>
              <w:tabs>
                <w:tab w:val="left" w:pos="1140"/>
              </w:tabs>
              <w:spacing w:after="200" w:line="276" w:lineRule="auto"/>
              <w:rPr>
                <w:rFonts w:eastAsia="MS Mincho"/>
              </w:rPr>
            </w:pPr>
            <w:r w:rsidRPr="004304A2">
              <w:rPr>
                <w:rFonts w:eastAsia="MS Mincho"/>
              </w:rPr>
              <w:t>Second-Grade Reading</w:t>
            </w:r>
          </w:p>
        </w:tc>
        <w:tc>
          <w:tcPr>
            <w:tcW w:w="1710" w:type="dxa"/>
          </w:tcPr>
          <w:p w14:paraId="5B65E85F" w14:textId="77777777" w:rsidR="004304A2" w:rsidRPr="004304A2" w:rsidRDefault="004304A2" w:rsidP="004304A2">
            <w:pPr>
              <w:tabs>
                <w:tab w:val="left" w:pos="1140"/>
              </w:tabs>
              <w:spacing w:after="200" w:line="276" w:lineRule="auto"/>
              <w:rPr>
                <w:rFonts w:eastAsia="MS Mincho"/>
              </w:rPr>
            </w:pPr>
            <w:r w:rsidRPr="004304A2">
              <w:rPr>
                <w:rFonts w:eastAsia="MS Mincho"/>
              </w:rPr>
              <w:t>Comparison</w:t>
            </w:r>
          </w:p>
        </w:tc>
        <w:tc>
          <w:tcPr>
            <w:tcW w:w="900" w:type="dxa"/>
          </w:tcPr>
          <w:p w14:paraId="6F906EFB" w14:textId="77777777" w:rsidR="004304A2" w:rsidRPr="004304A2" w:rsidRDefault="004304A2" w:rsidP="004304A2">
            <w:pPr>
              <w:tabs>
                <w:tab w:val="left" w:pos="1140"/>
              </w:tabs>
              <w:spacing w:after="200" w:line="276" w:lineRule="auto"/>
              <w:rPr>
                <w:rFonts w:eastAsia="MS Mincho"/>
              </w:rPr>
            </w:pPr>
            <w:r w:rsidRPr="004304A2">
              <w:rPr>
                <w:rFonts w:eastAsia="MS Mincho"/>
              </w:rPr>
              <w:t>2015</w:t>
            </w:r>
          </w:p>
        </w:tc>
        <w:tc>
          <w:tcPr>
            <w:tcW w:w="1260" w:type="dxa"/>
          </w:tcPr>
          <w:p w14:paraId="12FE97A9" w14:textId="77777777" w:rsidR="004304A2" w:rsidRPr="004304A2" w:rsidRDefault="004304A2" w:rsidP="004304A2">
            <w:pPr>
              <w:tabs>
                <w:tab w:val="left" w:pos="1140"/>
              </w:tabs>
              <w:spacing w:after="200" w:line="276" w:lineRule="auto"/>
              <w:rPr>
                <w:rFonts w:eastAsia="MS Mincho"/>
              </w:rPr>
            </w:pPr>
            <w:r w:rsidRPr="004304A2">
              <w:rPr>
                <w:rFonts w:eastAsia="MS Mincho"/>
              </w:rPr>
              <w:t>167.88</w:t>
            </w:r>
          </w:p>
        </w:tc>
        <w:tc>
          <w:tcPr>
            <w:tcW w:w="1530" w:type="dxa"/>
          </w:tcPr>
          <w:p w14:paraId="4C0CE744" w14:textId="77777777" w:rsidR="004304A2" w:rsidRPr="004304A2" w:rsidRDefault="004304A2" w:rsidP="004304A2">
            <w:pPr>
              <w:tabs>
                <w:tab w:val="left" w:pos="1140"/>
              </w:tabs>
              <w:spacing w:after="200" w:line="276" w:lineRule="auto"/>
              <w:rPr>
                <w:rFonts w:eastAsia="MS Mincho"/>
              </w:rPr>
            </w:pPr>
            <w:r w:rsidRPr="004304A2">
              <w:rPr>
                <w:rFonts w:eastAsia="MS Mincho"/>
              </w:rPr>
              <w:t>180.82</w:t>
            </w:r>
          </w:p>
        </w:tc>
        <w:tc>
          <w:tcPr>
            <w:tcW w:w="1530" w:type="dxa"/>
          </w:tcPr>
          <w:p w14:paraId="2610F060" w14:textId="77777777" w:rsidR="004304A2" w:rsidRPr="004304A2" w:rsidRDefault="004304A2" w:rsidP="004304A2">
            <w:pPr>
              <w:tabs>
                <w:tab w:val="left" w:pos="1140"/>
              </w:tabs>
              <w:spacing w:after="200" w:line="276" w:lineRule="auto"/>
              <w:rPr>
                <w:rFonts w:eastAsia="MS Mincho"/>
              </w:rPr>
            </w:pPr>
            <w:r w:rsidRPr="004304A2">
              <w:rPr>
                <w:rFonts w:eastAsia="MS Mincho"/>
              </w:rPr>
              <w:t>191.01</w:t>
            </w:r>
          </w:p>
        </w:tc>
        <w:tc>
          <w:tcPr>
            <w:tcW w:w="1350" w:type="dxa"/>
          </w:tcPr>
          <w:p w14:paraId="72E25017" w14:textId="77777777" w:rsidR="004304A2" w:rsidRPr="004304A2" w:rsidRDefault="004304A2" w:rsidP="004304A2">
            <w:pPr>
              <w:tabs>
                <w:tab w:val="left" w:pos="1140"/>
              </w:tabs>
              <w:spacing w:after="200" w:line="276" w:lineRule="auto"/>
              <w:rPr>
                <w:rFonts w:eastAsia="MS Mincho"/>
              </w:rPr>
            </w:pPr>
            <w:r w:rsidRPr="004304A2">
              <w:rPr>
                <w:rFonts w:eastAsia="MS Mincho"/>
              </w:rPr>
              <w:t>15.90</w:t>
            </w:r>
          </w:p>
        </w:tc>
        <w:tc>
          <w:tcPr>
            <w:tcW w:w="1440" w:type="dxa"/>
          </w:tcPr>
          <w:p w14:paraId="6F276B8D" w14:textId="77777777" w:rsidR="004304A2" w:rsidRPr="004304A2" w:rsidRDefault="004304A2" w:rsidP="004304A2">
            <w:pPr>
              <w:tabs>
                <w:tab w:val="left" w:pos="1140"/>
              </w:tabs>
              <w:spacing w:after="200" w:line="276" w:lineRule="auto"/>
              <w:rPr>
                <w:rFonts w:eastAsia="MS Mincho"/>
              </w:rPr>
            </w:pPr>
            <w:r w:rsidRPr="004304A2">
              <w:rPr>
                <w:rFonts w:eastAsia="MS Mincho"/>
              </w:rPr>
              <w:t>16.13</w:t>
            </w:r>
          </w:p>
        </w:tc>
        <w:tc>
          <w:tcPr>
            <w:tcW w:w="1440" w:type="dxa"/>
          </w:tcPr>
          <w:p w14:paraId="56560153" w14:textId="77777777" w:rsidR="004304A2" w:rsidRPr="004304A2" w:rsidRDefault="004304A2" w:rsidP="004304A2">
            <w:pPr>
              <w:tabs>
                <w:tab w:val="left" w:pos="1140"/>
              </w:tabs>
              <w:spacing w:after="200" w:line="276" w:lineRule="auto"/>
              <w:rPr>
                <w:rFonts w:eastAsia="MS Mincho"/>
              </w:rPr>
            </w:pPr>
            <w:r w:rsidRPr="004304A2">
              <w:rPr>
                <w:rFonts w:eastAsia="MS Mincho"/>
              </w:rPr>
              <w:t>12.81</w:t>
            </w:r>
          </w:p>
        </w:tc>
        <w:tc>
          <w:tcPr>
            <w:tcW w:w="1062" w:type="dxa"/>
          </w:tcPr>
          <w:p w14:paraId="3C7DA5CB" w14:textId="77777777" w:rsidR="004304A2" w:rsidRPr="004304A2" w:rsidRDefault="004304A2" w:rsidP="004304A2">
            <w:pPr>
              <w:tabs>
                <w:tab w:val="left" w:pos="1140"/>
              </w:tabs>
              <w:spacing w:after="200" w:line="276" w:lineRule="auto"/>
              <w:rPr>
                <w:rFonts w:eastAsia="MS Mincho"/>
              </w:rPr>
            </w:pPr>
            <w:r w:rsidRPr="004304A2">
              <w:rPr>
                <w:rFonts w:eastAsia="MS Mincho"/>
              </w:rPr>
              <w:t>73</w:t>
            </w:r>
          </w:p>
        </w:tc>
      </w:tr>
      <w:tr w:rsidR="004304A2" w:rsidRPr="004304A2" w14:paraId="13ECD8AE" w14:textId="77777777" w:rsidTr="00C93D65">
        <w:tc>
          <w:tcPr>
            <w:tcW w:w="2520" w:type="dxa"/>
            <w:vMerge/>
          </w:tcPr>
          <w:p w14:paraId="41E1920E" w14:textId="77777777" w:rsidR="004304A2" w:rsidRPr="004304A2" w:rsidRDefault="004304A2" w:rsidP="004304A2">
            <w:pPr>
              <w:tabs>
                <w:tab w:val="left" w:pos="1140"/>
              </w:tabs>
              <w:spacing w:after="200" w:line="276" w:lineRule="auto"/>
              <w:rPr>
                <w:rFonts w:eastAsia="MS Mincho"/>
              </w:rPr>
            </w:pPr>
          </w:p>
        </w:tc>
        <w:tc>
          <w:tcPr>
            <w:tcW w:w="1710" w:type="dxa"/>
          </w:tcPr>
          <w:p w14:paraId="05ACEB52" w14:textId="77777777" w:rsidR="004304A2" w:rsidRPr="004304A2" w:rsidRDefault="004304A2" w:rsidP="004304A2">
            <w:pPr>
              <w:tabs>
                <w:tab w:val="left" w:pos="1140"/>
              </w:tabs>
              <w:spacing w:after="200" w:line="276" w:lineRule="auto"/>
              <w:rPr>
                <w:rFonts w:eastAsia="MS Mincho"/>
              </w:rPr>
            </w:pPr>
            <w:r w:rsidRPr="004304A2">
              <w:rPr>
                <w:rFonts w:eastAsia="MS Mincho"/>
              </w:rPr>
              <w:t>Treatment</w:t>
            </w:r>
          </w:p>
        </w:tc>
        <w:tc>
          <w:tcPr>
            <w:tcW w:w="900" w:type="dxa"/>
          </w:tcPr>
          <w:p w14:paraId="55CC6029" w14:textId="77777777" w:rsidR="004304A2" w:rsidRPr="004304A2" w:rsidRDefault="004304A2" w:rsidP="004304A2">
            <w:pPr>
              <w:tabs>
                <w:tab w:val="left" w:pos="1140"/>
              </w:tabs>
              <w:spacing w:after="200" w:line="276" w:lineRule="auto"/>
              <w:rPr>
                <w:rFonts w:eastAsia="MS Mincho"/>
              </w:rPr>
            </w:pPr>
            <w:r w:rsidRPr="004304A2">
              <w:rPr>
                <w:rFonts w:eastAsia="MS Mincho"/>
              </w:rPr>
              <w:t>2016</w:t>
            </w:r>
          </w:p>
        </w:tc>
        <w:tc>
          <w:tcPr>
            <w:tcW w:w="1260" w:type="dxa"/>
          </w:tcPr>
          <w:p w14:paraId="1C91E7A7" w14:textId="77777777" w:rsidR="004304A2" w:rsidRPr="004304A2" w:rsidRDefault="004304A2" w:rsidP="004304A2">
            <w:pPr>
              <w:tabs>
                <w:tab w:val="left" w:pos="1140"/>
              </w:tabs>
              <w:spacing w:after="200" w:line="276" w:lineRule="auto"/>
              <w:rPr>
                <w:rFonts w:eastAsia="MS Mincho"/>
              </w:rPr>
            </w:pPr>
            <w:r w:rsidRPr="004304A2">
              <w:rPr>
                <w:rFonts w:eastAsia="MS Mincho"/>
              </w:rPr>
              <w:t>170.86</w:t>
            </w:r>
          </w:p>
        </w:tc>
        <w:tc>
          <w:tcPr>
            <w:tcW w:w="1530" w:type="dxa"/>
          </w:tcPr>
          <w:p w14:paraId="2470B495" w14:textId="77777777" w:rsidR="004304A2" w:rsidRPr="004304A2" w:rsidRDefault="004304A2" w:rsidP="004304A2">
            <w:pPr>
              <w:tabs>
                <w:tab w:val="left" w:pos="1140"/>
              </w:tabs>
              <w:spacing w:after="200" w:line="276" w:lineRule="auto"/>
              <w:rPr>
                <w:rFonts w:eastAsia="MS Mincho"/>
              </w:rPr>
            </w:pPr>
            <w:r w:rsidRPr="004304A2">
              <w:rPr>
                <w:rFonts w:eastAsia="MS Mincho"/>
              </w:rPr>
              <w:t>184.90</w:t>
            </w:r>
          </w:p>
        </w:tc>
        <w:tc>
          <w:tcPr>
            <w:tcW w:w="1530" w:type="dxa"/>
          </w:tcPr>
          <w:p w14:paraId="12CC737A" w14:textId="77777777" w:rsidR="004304A2" w:rsidRPr="004304A2" w:rsidRDefault="004304A2" w:rsidP="004304A2">
            <w:pPr>
              <w:tabs>
                <w:tab w:val="left" w:pos="1140"/>
              </w:tabs>
              <w:spacing w:after="200" w:line="276" w:lineRule="auto"/>
              <w:rPr>
                <w:rFonts w:eastAsia="MS Mincho"/>
              </w:rPr>
            </w:pPr>
            <w:r w:rsidRPr="004304A2">
              <w:rPr>
                <w:rFonts w:eastAsia="MS Mincho"/>
              </w:rPr>
              <w:t>196.69</w:t>
            </w:r>
          </w:p>
        </w:tc>
        <w:tc>
          <w:tcPr>
            <w:tcW w:w="1350" w:type="dxa"/>
          </w:tcPr>
          <w:p w14:paraId="4876BD67" w14:textId="77777777" w:rsidR="004304A2" w:rsidRPr="004304A2" w:rsidRDefault="004304A2" w:rsidP="004304A2">
            <w:pPr>
              <w:tabs>
                <w:tab w:val="left" w:pos="1140"/>
              </w:tabs>
              <w:spacing w:after="200" w:line="276" w:lineRule="auto"/>
              <w:rPr>
                <w:rFonts w:eastAsia="MS Mincho"/>
              </w:rPr>
            </w:pPr>
            <w:r w:rsidRPr="004304A2">
              <w:rPr>
                <w:rFonts w:eastAsia="MS Mincho"/>
              </w:rPr>
              <w:t>12.92</w:t>
            </w:r>
          </w:p>
        </w:tc>
        <w:tc>
          <w:tcPr>
            <w:tcW w:w="1440" w:type="dxa"/>
          </w:tcPr>
          <w:p w14:paraId="0E4CE719" w14:textId="77777777" w:rsidR="004304A2" w:rsidRPr="004304A2" w:rsidRDefault="004304A2" w:rsidP="004304A2">
            <w:pPr>
              <w:tabs>
                <w:tab w:val="left" w:pos="1140"/>
              </w:tabs>
              <w:spacing w:after="200" w:line="276" w:lineRule="auto"/>
              <w:rPr>
                <w:rFonts w:eastAsia="MS Mincho"/>
              </w:rPr>
            </w:pPr>
            <w:r w:rsidRPr="004304A2">
              <w:rPr>
                <w:rFonts w:eastAsia="MS Mincho"/>
              </w:rPr>
              <w:t>11.48</w:t>
            </w:r>
          </w:p>
        </w:tc>
        <w:tc>
          <w:tcPr>
            <w:tcW w:w="1440" w:type="dxa"/>
          </w:tcPr>
          <w:p w14:paraId="374A52EB" w14:textId="77777777" w:rsidR="004304A2" w:rsidRPr="004304A2" w:rsidRDefault="004304A2" w:rsidP="004304A2">
            <w:pPr>
              <w:tabs>
                <w:tab w:val="left" w:pos="1140"/>
              </w:tabs>
              <w:spacing w:after="200" w:line="276" w:lineRule="auto"/>
              <w:rPr>
                <w:rFonts w:eastAsia="MS Mincho"/>
              </w:rPr>
            </w:pPr>
            <w:r w:rsidRPr="004304A2">
              <w:rPr>
                <w:rFonts w:eastAsia="MS Mincho"/>
              </w:rPr>
              <w:t>9.86</w:t>
            </w:r>
          </w:p>
        </w:tc>
        <w:tc>
          <w:tcPr>
            <w:tcW w:w="1062" w:type="dxa"/>
          </w:tcPr>
          <w:p w14:paraId="395BDAFC" w14:textId="77777777" w:rsidR="004304A2" w:rsidRPr="004304A2" w:rsidRDefault="004304A2" w:rsidP="004304A2">
            <w:pPr>
              <w:tabs>
                <w:tab w:val="left" w:pos="1140"/>
              </w:tabs>
              <w:spacing w:after="200" w:line="276" w:lineRule="auto"/>
              <w:rPr>
                <w:rFonts w:eastAsia="MS Mincho"/>
              </w:rPr>
            </w:pPr>
            <w:r w:rsidRPr="004304A2">
              <w:rPr>
                <w:rFonts w:eastAsia="MS Mincho"/>
              </w:rPr>
              <w:t>49</w:t>
            </w:r>
          </w:p>
        </w:tc>
      </w:tr>
      <w:tr w:rsidR="004304A2" w:rsidRPr="004304A2" w14:paraId="01537422" w14:textId="77777777" w:rsidTr="00C93D65">
        <w:tc>
          <w:tcPr>
            <w:tcW w:w="2520" w:type="dxa"/>
            <w:vMerge w:val="restart"/>
          </w:tcPr>
          <w:p w14:paraId="00414A9B" w14:textId="77777777" w:rsidR="004304A2" w:rsidRPr="004304A2" w:rsidRDefault="004304A2" w:rsidP="004304A2">
            <w:pPr>
              <w:tabs>
                <w:tab w:val="left" w:pos="1140"/>
              </w:tabs>
              <w:spacing w:after="200" w:line="276" w:lineRule="auto"/>
              <w:rPr>
                <w:rFonts w:eastAsia="MS Mincho"/>
              </w:rPr>
            </w:pPr>
            <w:r w:rsidRPr="004304A2">
              <w:rPr>
                <w:rFonts w:eastAsia="MS Mincho"/>
              </w:rPr>
              <w:t xml:space="preserve">Second-Grade Math </w:t>
            </w:r>
          </w:p>
        </w:tc>
        <w:tc>
          <w:tcPr>
            <w:tcW w:w="1710" w:type="dxa"/>
          </w:tcPr>
          <w:p w14:paraId="63D7C30B" w14:textId="77777777" w:rsidR="004304A2" w:rsidRPr="004304A2" w:rsidRDefault="004304A2" w:rsidP="004304A2">
            <w:pPr>
              <w:tabs>
                <w:tab w:val="left" w:pos="1140"/>
              </w:tabs>
              <w:spacing w:after="200" w:line="276" w:lineRule="auto"/>
              <w:rPr>
                <w:rFonts w:eastAsia="MS Mincho"/>
              </w:rPr>
            </w:pPr>
            <w:r w:rsidRPr="004304A2">
              <w:rPr>
                <w:rFonts w:eastAsia="MS Mincho"/>
              </w:rPr>
              <w:t>Comparison</w:t>
            </w:r>
          </w:p>
        </w:tc>
        <w:tc>
          <w:tcPr>
            <w:tcW w:w="900" w:type="dxa"/>
          </w:tcPr>
          <w:p w14:paraId="676279AD" w14:textId="77777777" w:rsidR="004304A2" w:rsidRPr="004304A2" w:rsidRDefault="004304A2" w:rsidP="004304A2">
            <w:pPr>
              <w:tabs>
                <w:tab w:val="left" w:pos="1140"/>
              </w:tabs>
              <w:spacing w:after="200" w:line="276" w:lineRule="auto"/>
              <w:rPr>
                <w:rFonts w:eastAsia="MS Mincho"/>
              </w:rPr>
            </w:pPr>
            <w:r w:rsidRPr="004304A2">
              <w:rPr>
                <w:rFonts w:eastAsia="MS Mincho"/>
              </w:rPr>
              <w:t>2015</w:t>
            </w:r>
          </w:p>
        </w:tc>
        <w:tc>
          <w:tcPr>
            <w:tcW w:w="1260" w:type="dxa"/>
          </w:tcPr>
          <w:p w14:paraId="47E2D3AA" w14:textId="77777777" w:rsidR="004304A2" w:rsidRPr="004304A2" w:rsidRDefault="004304A2" w:rsidP="004304A2">
            <w:pPr>
              <w:tabs>
                <w:tab w:val="left" w:pos="1140"/>
              </w:tabs>
              <w:spacing w:after="200" w:line="276" w:lineRule="auto"/>
              <w:rPr>
                <w:rFonts w:eastAsia="MS Mincho"/>
              </w:rPr>
            </w:pPr>
            <w:r w:rsidRPr="004304A2">
              <w:rPr>
                <w:rFonts w:eastAsia="MS Mincho"/>
              </w:rPr>
              <w:t>170.42</w:t>
            </w:r>
          </w:p>
        </w:tc>
        <w:tc>
          <w:tcPr>
            <w:tcW w:w="1530" w:type="dxa"/>
          </w:tcPr>
          <w:p w14:paraId="63DEF739" w14:textId="77777777" w:rsidR="004304A2" w:rsidRPr="004304A2" w:rsidRDefault="004304A2" w:rsidP="004304A2">
            <w:pPr>
              <w:tabs>
                <w:tab w:val="left" w:pos="1140"/>
              </w:tabs>
              <w:spacing w:after="200" w:line="276" w:lineRule="auto"/>
              <w:rPr>
                <w:rFonts w:eastAsia="MS Mincho"/>
              </w:rPr>
            </w:pPr>
            <w:r w:rsidRPr="004304A2">
              <w:rPr>
                <w:rFonts w:eastAsia="MS Mincho"/>
              </w:rPr>
              <w:t>181.53</w:t>
            </w:r>
          </w:p>
        </w:tc>
        <w:tc>
          <w:tcPr>
            <w:tcW w:w="1530" w:type="dxa"/>
          </w:tcPr>
          <w:p w14:paraId="7BBF3712" w14:textId="77777777" w:rsidR="004304A2" w:rsidRPr="004304A2" w:rsidRDefault="004304A2" w:rsidP="004304A2">
            <w:pPr>
              <w:tabs>
                <w:tab w:val="left" w:pos="1140"/>
              </w:tabs>
              <w:spacing w:after="200" w:line="276" w:lineRule="auto"/>
              <w:rPr>
                <w:rFonts w:eastAsia="MS Mincho"/>
              </w:rPr>
            </w:pPr>
            <w:r w:rsidRPr="004304A2">
              <w:rPr>
                <w:rFonts w:eastAsia="MS Mincho"/>
              </w:rPr>
              <w:t>*</w:t>
            </w:r>
          </w:p>
        </w:tc>
        <w:tc>
          <w:tcPr>
            <w:tcW w:w="1350" w:type="dxa"/>
          </w:tcPr>
          <w:p w14:paraId="71B0A6EC" w14:textId="77777777" w:rsidR="004304A2" w:rsidRPr="004304A2" w:rsidRDefault="004304A2" w:rsidP="004304A2">
            <w:pPr>
              <w:tabs>
                <w:tab w:val="left" w:pos="1140"/>
              </w:tabs>
              <w:spacing w:after="200" w:line="276" w:lineRule="auto"/>
              <w:rPr>
                <w:rFonts w:eastAsia="MS Mincho"/>
              </w:rPr>
            </w:pPr>
            <w:r w:rsidRPr="004304A2">
              <w:rPr>
                <w:rFonts w:eastAsia="MS Mincho"/>
              </w:rPr>
              <w:t>12.37</w:t>
            </w:r>
          </w:p>
        </w:tc>
        <w:tc>
          <w:tcPr>
            <w:tcW w:w="1440" w:type="dxa"/>
          </w:tcPr>
          <w:p w14:paraId="21008F77" w14:textId="77777777" w:rsidR="004304A2" w:rsidRPr="004304A2" w:rsidRDefault="004304A2" w:rsidP="004304A2">
            <w:pPr>
              <w:tabs>
                <w:tab w:val="left" w:pos="1140"/>
              </w:tabs>
              <w:spacing w:after="200" w:line="276" w:lineRule="auto"/>
              <w:rPr>
                <w:rFonts w:eastAsia="MS Mincho"/>
              </w:rPr>
            </w:pPr>
            <w:r w:rsidRPr="004304A2">
              <w:rPr>
                <w:rFonts w:eastAsia="MS Mincho"/>
              </w:rPr>
              <w:t>10.82</w:t>
            </w:r>
          </w:p>
        </w:tc>
        <w:tc>
          <w:tcPr>
            <w:tcW w:w="1440" w:type="dxa"/>
          </w:tcPr>
          <w:p w14:paraId="2D8C9914" w14:textId="77777777" w:rsidR="004304A2" w:rsidRPr="004304A2" w:rsidRDefault="004304A2" w:rsidP="004304A2">
            <w:pPr>
              <w:tabs>
                <w:tab w:val="left" w:pos="1140"/>
              </w:tabs>
              <w:spacing w:after="200" w:line="276" w:lineRule="auto"/>
              <w:rPr>
                <w:rFonts w:eastAsia="MS Mincho"/>
              </w:rPr>
            </w:pPr>
            <w:r w:rsidRPr="004304A2">
              <w:rPr>
                <w:rFonts w:eastAsia="MS Mincho"/>
              </w:rPr>
              <w:t>*</w:t>
            </w:r>
          </w:p>
        </w:tc>
        <w:tc>
          <w:tcPr>
            <w:tcW w:w="1062" w:type="dxa"/>
          </w:tcPr>
          <w:p w14:paraId="05D96DBC" w14:textId="77777777" w:rsidR="004304A2" w:rsidRPr="004304A2" w:rsidRDefault="004304A2" w:rsidP="004304A2">
            <w:pPr>
              <w:tabs>
                <w:tab w:val="left" w:pos="1140"/>
              </w:tabs>
              <w:spacing w:after="200" w:line="276" w:lineRule="auto"/>
              <w:rPr>
                <w:rFonts w:eastAsia="MS Mincho"/>
              </w:rPr>
            </w:pPr>
            <w:r w:rsidRPr="004304A2">
              <w:rPr>
                <w:rFonts w:eastAsia="MS Mincho"/>
              </w:rPr>
              <w:t>77</w:t>
            </w:r>
          </w:p>
        </w:tc>
      </w:tr>
      <w:tr w:rsidR="004304A2" w:rsidRPr="004304A2" w14:paraId="587939B3" w14:textId="77777777" w:rsidTr="00C93D65">
        <w:tc>
          <w:tcPr>
            <w:tcW w:w="2520" w:type="dxa"/>
            <w:vMerge/>
          </w:tcPr>
          <w:p w14:paraId="799ADD9E" w14:textId="77777777" w:rsidR="004304A2" w:rsidRPr="004304A2" w:rsidRDefault="004304A2" w:rsidP="004304A2">
            <w:pPr>
              <w:tabs>
                <w:tab w:val="left" w:pos="1140"/>
              </w:tabs>
              <w:spacing w:after="200" w:line="276" w:lineRule="auto"/>
              <w:rPr>
                <w:rFonts w:eastAsia="MS Mincho"/>
              </w:rPr>
            </w:pPr>
          </w:p>
        </w:tc>
        <w:tc>
          <w:tcPr>
            <w:tcW w:w="1710" w:type="dxa"/>
          </w:tcPr>
          <w:p w14:paraId="4534E91D" w14:textId="77777777" w:rsidR="004304A2" w:rsidRPr="004304A2" w:rsidRDefault="004304A2" w:rsidP="004304A2">
            <w:pPr>
              <w:tabs>
                <w:tab w:val="left" w:pos="1140"/>
              </w:tabs>
              <w:spacing w:after="200" w:line="276" w:lineRule="auto"/>
              <w:rPr>
                <w:rFonts w:eastAsia="MS Mincho"/>
              </w:rPr>
            </w:pPr>
            <w:r w:rsidRPr="004304A2">
              <w:rPr>
                <w:rFonts w:eastAsia="MS Mincho"/>
              </w:rPr>
              <w:t>Treatment</w:t>
            </w:r>
          </w:p>
        </w:tc>
        <w:tc>
          <w:tcPr>
            <w:tcW w:w="900" w:type="dxa"/>
          </w:tcPr>
          <w:p w14:paraId="19DFE683" w14:textId="77777777" w:rsidR="004304A2" w:rsidRPr="004304A2" w:rsidRDefault="004304A2" w:rsidP="004304A2">
            <w:pPr>
              <w:tabs>
                <w:tab w:val="left" w:pos="1140"/>
              </w:tabs>
              <w:spacing w:after="200" w:line="276" w:lineRule="auto"/>
              <w:rPr>
                <w:rFonts w:eastAsia="MS Mincho"/>
              </w:rPr>
            </w:pPr>
            <w:r w:rsidRPr="004304A2">
              <w:rPr>
                <w:rFonts w:eastAsia="MS Mincho"/>
              </w:rPr>
              <w:t>2017</w:t>
            </w:r>
          </w:p>
        </w:tc>
        <w:tc>
          <w:tcPr>
            <w:tcW w:w="1260" w:type="dxa"/>
          </w:tcPr>
          <w:p w14:paraId="3D9AF56C" w14:textId="77777777" w:rsidR="004304A2" w:rsidRPr="004304A2" w:rsidRDefault="004304A2" w:rsidP="004304A2">
            <w:pPr>
              <w:tabs>
                <w:tab w:val="left" w:pos="1140"/>
              </w:tabs>
              <w:spacing w:after="200" w:line="276" w:lineRule="auto"/>
              <w:rPr>
                <w:rFonts w:eastAsia="MS Mincho"/>
              </w:rPr>
            </w:pPr>
            <w:r w:rsidRPr="004304A2">
              <w:rPr>
                <w:rFonts w:eastAsia="MS Mincho"/>
              </w:rPr>
              <w:t>173.43</w:t>
            </w:r>
          </w:p>
        </w:tc>
        <w:tc>
          <w:tcPr>
            <w:tcW w:w="1530" w:type="dxa"/>
          </w:tcPr>
          <w:p w14:paraId="7CC61529" w14:textId="77777777" w:rsidR="004304A2" w:rsidRPr="004304A2" w:rsidRDefault="004304A2" w:rsidP="004304A2">
            <w:pPr>
              <w:tabs>
                <w:tab w:val="left" w:pos="1140"/>
              </w:tabs>
              <w:spacing w:after="200" w:line="276" w:lineRule="auto"/>
              <w:rPr>
                <w:rFonts w:eastAsia="MS Mincho"/>
              </w:rPr>
            </w:pPr>
            <w:r w:rsidRPr="004304A2">
              <w:rPr>
                <w:rFonts w:eastAsia="MS Mincho"/>
              </w:rPr>
              <w:t>184.12</w:t>
            </w:r>
          </w:p>
        </w:tc>
        <w:tc>
          <w:tcPr>
            <w:tcW w:w="1530" w:type="dxa"/>
          </w:tcPr>
          <w:p w14:paraId="5626B96F" w14:textId="77777777" w:rsidR="004304A2" w:rsidRPr="004304A2" w:rsidRDefault="004304A2" w:rsidP="004304A2">
            <w:pPr>
              <w:tabs>
                <w:tab w:val="left" w:pos="1140"/>
              </w:tabs>
              <w:spacing w:after="200" w:line="276" w:lineRule="auto"/>
              <w:rPr>
                <w:rFonts w:eastAsia="MS Mincho"/>
              </w:rPr>
            </w:pPr>
            <w:r w:rsidRPr="004304A2">
              <w:rPr>
                <w:rFonts w:eastAsia="MS Mincho"/>
              </w:rPr>
              <w:t>*</w:t>
            </w:r>
          </w:p>
        </w:tc>
        <w:tc>
          <w:tcPr>
            <w:tcW w:w="1350" w:type="dxa"/>
          </w:tcPr>
          <w:p w14:paraId="26A4B4C3" w14:textId="77777777" w:rsidR="004304A2" w:rsidRPr="004304A2" w:rsidRDefault="004304A2" w:rsidP="004304A2">
            <w:pPr>
              <w:tabs>
                <w:tab w:val="left" w:pos="1140"/>
              </w:tabs>
              <w:spacing w:after="200" w:line="276" w:lineRule="auto"/>
              <w:rPr>
                <w:rFonts w:eastAsia="MS Mincho"/>
              </w:rPr>
            </w:pPr>
            <w:r w:rsidRPr="004304A2">
              <w:rPr>
                <w:rFonts w:eastAsia="MS Mincho"/>
              </w:rPr>
              <w:t>14.31</w:t>
            </w:r>
          </w:p>
        </w:tc>
        <w:tc>
          <w:tcPr>
            <w:tcW w:w="1440" w:type="dxa"/>
          </w:tcPr>
          <w:p w14:paraId="17B763BA" w14:textId="77777777" w:rsidR="004304A2" w:rsidRPr="004304A2" w:rsidRDefault="004304A2" w:rsidP="004304A2">
            <w:pPr>
              <w:tabs>
                <w:tab w:val="left" w:pos="1140"/>
              </w:tabs>
              <w:spacing w:after="200" w:line="276" w:lineRule="auto"/>
              <w:rPr>
                <w:rFonts w:eastAsia="MS Mincho"/>
              </w:rPr>
            </w:pPr>
            <w:r w:rsidRPr="004304A2">
              <w:rPr>
                <w:rFonts w:eastAsia="MS Mincho"/>
              </w:rPr>
              <w:t>13.52</w:t>
            </w:r>
          </w:p>
        </w:tc>
        <w:tc>
          <w:tcPr>
            <w:tcW w:w="1440" w:type="dxa"/>
          </w:tcPr>
          <w:p w14:paraId="71798399" w14:textId="77777777" w:rsidR="004304A2" w:rsidRPr="004304A2" w:rsidRDefault="004304A2" w:rsidP="004304A2">
            <w:pPr>
              <w:tabs>
                <w:tab w:val="left" w:pos="1140"/>
              </w:tabs>
              <w:spacing w:after="200" w:line="276" w:lineRule="auto"/>
              <w:rPr>
                <w:rFonts w:eastAsia="MS Mincho"/>
              </w:rPr>
            </w:pPr>
            <w:r w:rsidRPr="004304A2">
              <w:rPr>
                <w:rFonts w:eastAsia="MS Mincho"/>
              </w:rPr>
              <w:t>*</w:t>
            </w:r>
          </w:p>
        </w:tc>
        <w:tc>
          <w:tcPr>
            <w:tcW w:w="1062" w:type="dxa"/>
          </w:tcPr>
          <w:p w14:paraId="5DBA8B27" w14:textId="77777777" w:rsidR="004304A2" w:rsidRPr="004304A2" w:rsidRDefault="004304A2" w:rsidP="004304A2">
            <w:pPr>
              <w:tabs>
                <w:tab w:val="left" w:pos="1140"/>
              </w:tabs>
              <w:spacing w:after="200" w:line="276" w:lineRule="auto"/>
              <w:rPr>
                <w:rFonts w:eastAsia="MS Mincho"/>
              </w:rPr>
            </w:pPr>
            <w:r w:rsidRPr="004304A2">
              <w:rPr>
                <w:rFonts w:eastAsia="MS Mincho"/>
              </w:rPr>
              <w:t>69</w:t>
            </w:r>
          </w:p>
        </w:tc>
      </w:tr>
      <w:tr w:rsidR="004304A2" w:rsidRPr="004304A2" w14:paraId="39286442" w14:textId="77777777" w:rsidTr="00C93D65">
        <w:tc>
          <w:tcPr>
            <w:tcW w:w="2520" w:type="dxa"/>
            <w:vMerge w:val="restart"/>
          </w:tcPr>
          <w:p w14:paraId="3DA75C66" w14:textId="77777777" w:rsidR="004304A2" w:rsidRPr="004304A2" w:rsidRDefault="004304A2" w:rsidP="004304A2">
            <w:pPr>
              <w:tabs>
                <w:tab w:val="left" w:pos="1140"/>
              </w:tabs>
              <w:spacing w:after="200" w:line="276" w:lineRule="auto"/>
              <w:rPr>
                <w:rFonts w:eastAsia="MS Mincho"/>
              </w:rPr>
            </w:pPr>
            <w:r w:rsidRPr="004304A2">
              <w:rPr>
                <w:rFonts w:eastAsia="MS Mincho"/>
              </w:rPr>
              <w:t xml:space="preserve">Second-Grade Reading </w:t>
            </w:r>
          </w:p>
        </w:tc>
        <w:tc>
          <w:tcPr>
            <w:tcW w:w="1710" w:type="dxa"/>
          </w:tcPr>
          <w:p w14:paraId="58907CC3" w14:textId="77777777" w:rsidR="004304A2" w:rsidRPr="004304A2" w:rsidRDefault="004304A2" w:rsidP="004304A2">
            <w:pPr>
              <w:tabs>
                <w:tab w:val="left" w:pos="1140"/>
              </w:tabs>
              <w:spacing w:after="200" w:line="276" w:lineRule="auto"/>
              <w:rPr>
                <w:rFonts w:eastAsia="MS Mincho"/>
              </w:rPr>
            </w:pPr>
            <w:r w:rsidRPr="004304A2">
              <w:rPr>
                <w:rFonts w:eastAsia="MS Mincho"/>
              </w:rPr>
              <w:t>Comparison</w:t>
            </w:r>
          </w:p>
        </w:tc>
        <w:tc>
          <w:tcPr>
            <w:tcW w:w="900" w:type="dxa"/>
          </w:tcPr>
          <w:p w14:paraId="3A0F1829" w14:textId="77777777" w:rsidR="004304A2" w:rsidRPr="004304A2" w:rsidRDefault="004304A2" w:rsidP="004304A2">
            <w:pPr>
              <w:tabs>
                <w:tab w:val="left" w:pos="1140"/>
              </w:tabs>
              <w:spacing w:after="200" w:line="276" w:lineRule="auto"/>
              <w:rPr>
                <w:rFonts w:eastAsia="MS Mincho"/>
              </w:rPr>
            </w:pPr>
            <w:r w:rsidRPr="004304A2">
              <w:rPr>
                <w:rFonts w:eastAsia="MS Mincho"/>
              </w:rPr>
              <w:t>2015</w:t>
            </w:r>
          </w:p>
        </w:tc>
        <w:tc>
          <w:tcPr>
            <w:tcW w:w="1260" w:type="dxa"/>
          </w:tcPr>
          <w:p w14:paraId="701EB622" w14:textId="77777777" w:rsidR="004304A2" w:rsidRPr="004304A2" w:rsidRDefault="004304A2" w:rsidP="004304A2">
            <w:pPr>
              <w:tabs>
                <w:tab w:val="left" w:pos="1140"/>
              </w:tabs>
              <w:spacing w:after="200" w:line="276" w:lineRule="auto"/>
              <w:rPr>
                <w:rFonts w:eastAsia="MS Mincho"/>
              </w:rPr>
            </w:pPr>
            <w:r w:rsidRPr="004304A2">
              <w:rPr>
                <w:rFonts w:eastAsia="MS Mincho"/>
              </w:rPr>
              <w:t>167.51</w:t>
            </w:r>
          </w:p>
        </w:tc>
        <w:tc>
          <w:tcPr>
            <w:tcW w:w="1530" w:type="dxa"/>
          </w:tcPr>
          <w:p w14:paraId="653E1D00" w14:textId="77777777" w:rsidR="004304A2" w:rsidRPr="004304A2" w:rsidRDefault="004304A2" w:rsidP="004304A2">
            <w:pPr>
              <w:tabs>
                <w:tab w:val="left" w:pos="1140"/>
              </w:tabs>
              <w:spacing w:after="200" w:line="276" w:lineRule="auto"/>
              <w:rPr>
                <w:rFonts w:eastAsia="MS Mincho"/>
              </w:rPr>
            </w:pPr>
            <w:r w:rsidRPr="004304A2">
              <w:rPr>
                <w:rFonts w:eastAsia="MS Mincho"/>
              </w:rPr>
              <w:t>180.10</w:t>
            </w:r>
          </w:p>
        </w:tc>
        <w:tc>
          <w:tcPr>
            <w:tcW w:w="1530" w:type="dxa"/>
          </w:tcPr>
          <w:p w14:paraId="1AEB8383" w14:textId="77777777" w:rsidR="004304A2" w:rsidRPr="004304A2" w:rsidRDefault="004304A2" w:rsidP="004304A2">
            <w:pPr>
              <w:tabs>
                <w:tab w:val="left" w:pos="1140"/>
              </w:tabs>
              <w:spacing w:after="200" w:line="276" w:lineRule="auto"/>
              <w:rPr>
                <w:rFonts w:eastAsia="MS Mincho"/>
              </w:rPr>
            </w:pPr>
            <w:r w:rsidRPr="004304A2">
              <w:rPr>
                <w:rFonts w:eastAsia="MS Mincho"/>
              </w:rPr>
              <w:t>*</w:t>
            </w:r>
          </w:p>
        </w:tc>
        <w:tc>
          <w:tcPr>
            <w:tcW w:w="1350" w:type="dxa"/>
          </w:tcPr>
          <w:p w14:paraId="5820EB64" w14:textId="77777777" w:rsidR="004304A2" w:rsidRPr="004304A2" w:rsidRDefault="004304A2" w:rsidP="004304A2">
            <w:pPr>
              <w:tabs>
                <w:tab w:val="left" w:pos="1140"/>
              </w:tabs>
              <w:spacing w:after="200" w:line="276" w:lineRule="auto"/>
              <w:rPr>
                <w:rFonts w:eastAsia="MS Mincho"/>
              </w:rPr>
            </w:pPr>
            <w:r w:rsidRPr="004304A2">
              <w:rPr>
                <w:rFonts w:eastAsia="MS Mincho"/>
              </w:rPr>
              <w:t>16.11</w:t>
            </w:r>
          </w:p>
        </w:tc>
        <w:tc>
          <w:tcPr>
            <w:tcW w:w="1440" w:type="dxa"/>
          </w:tcPr>
          <w:p w14:paraId="01F33B04" w14:textId="77777777" w:rsidR="004304A2" w:rsidRPr="004304A2" w:rsidRDefault="004304A2" w:rsidP="004304A2">
            <w:pPr>
              <w:tabs>
                <w:tab w:val="left" w:pos="1140"/>
              </w:tabs>
              <w:spacing w:after="200" w:line="276" w:lineRule="auto"/>
              <w:rPr>
                <w:rFonts w:eastAsia="MS Mincho"/>
              </w:rPr>
            </w:pPr>
            <w:r w:rsidRPr="004304A2">
              <w:rPr>
                <w:rFonts w:eastAsia="MS Mincho"/>
              </w:rPr>
              <w:t>16.10</w:t>
            </w:r>
          </w:p>
        </w:tc>
        <w:tc>
          <w:tcPr>
            <w:tcW w:w="1440" w:type="dxa"/>
          </w:tcPr>
          <w:p w14:paraId="6B2BBA34" w14:textId="77777777" w:rsidR="004304A2" w:rsidRPr="004304A2" w:rsidRDefault="004304A2" w:rsidP="004304A2">
            <w:pPr>
              <w:tabs>
                <w:tab w:val="left" w:pos="1140"/>
              </w:tabs>
              <w:spacing w:after="200" w:line="276" w:lineRule="auto"/>
              <w:rPr>
                <w:rFonts w:eastAsia="MS Mincho"/>
              </w:rPr>
            </w:pPr>
            <w:r w:rsidRPr="004304A2">
              <w:rPr>
                <w:rFonts w:eastAsia="MS Mincho"/>
              </w:rPr>
              <w:t>*</w:t>
            </w:r>
          </w:p>
        </w:tc>
        <w:tc>
          <w:tcPr>
            <w:tcW w:w="1062" w:type="dxa"/>
          </w:tcPr>
          <w:p w14:paraId="07934E1D" w14:textId="77777777" w:rsidR="004304A2" w:rsidRPr="004304A2" w:rsidRDefault="004304A2" w:rsidP="004304A2">
            <w:pPr>
              <w:tabs>
                <w:tab w:val="left" w:pos="1140"/>
              </w:tabs>
              <w:spacing w:after="200" w:line="276" w:lineRule="auto"/>
              <w:rPr>
                <w:rFonts w:eastAsia="MS Mincho"/>
              </w:rPr>
            </w:pPr>
            <w:r w:rsidRPr="004304A2">
              <w:rPr>
                <w:rFonts w:eastAsia="MS Mincho"/>
              </w:rPr>
              <w:t>77</w:t>
            </w:r>
          </w:p>
        </w:tc>
      </w:tr>
      <w:tr w:rsidR="004304A2" w:rsidRPr="004304A2" w14:paraId="75840E4D" w14:textId="77777777" w:rsidTr="00C93D65">
        <w:tc>
          <w:tcPr>
            <w:tcW w:w="2520" w:type="dxa"/>
            <w:vMerge/>
          </w:tcPr>
          <w:p w14:paraId="5D9B1AE1" w14:textId="77777777" w:rsidR="004304A2" w:rsidRPr="004304A2" w:rsidRDefault="004304A2" w:rsidP="004304A2">
            <w:pPr>
              <w:tabs>
                <w:tab w:val="left" w:pos="1140"/>
              </w:tabs>
              <w:spacing w:after="200" w:line="276" w:lineRule="auto"/>
              <w:rPr>
                <w:rFonts w:eastAsia="MS Mincho"/>
              </w:rPr>
            </w:pPr>
          </w:p>
        </w:tc>
        <w:tc>
          <w:tcPr>
            <w:tcW w:w="1710" w:type="dxa"/>
          </w:tcPr>
          <w:p w14:paraId="226320F4" w14:textId="77777777" w:rsidR="004304A2" w:rsidRPr="004304A2" w:rsidRDefault="004304A2" w:rsidP="004304A2">
            <w:pPr>
              <w:tabs>
                <w:tab w:val="left" w:pos="1140"/>
              </w:tabs>
              <w:spacing w:after="200" w:line="276" w:lineRule="auto"/>
              <w:rPr>
                <w:rFonts w:eastAsia="MS Mincho"/>
              </w:rPr>
            </w:pPr>
            <w:r w:rsidRPr="004304A2">
              <w:rPr>
                <w:rFonts w:eastAsia="MS Mincho"/>
              </w:rPr>
              <w:t>Treatment</w:t>
            </w:r>
          </w:p>
        </w:tc>
        <w:tc>
          <w:tcPr>
            <w:tcW w:w="900" w:type="dxa"/>
          </w:tcPr>
          <w:p w14:paraId="4FF3E3BE" w14:textId="77777777" w:rsidR="004304A2" w:rsidRPr="004304A2" w:rsidRDefault="004304A2" w:rsidP="004304A2">
            <w:pPr>
              <w:tabs>
                <w:tab w:val="left" w:pos="1140"/>
              </w:tabs>
              <w:spacing w:after="200" w:line="276" w:lineRule="auto"/>
              <w:rPr>
                <w:rFonts w:eastAsia="MS Mincho"/>
              </w:rPr>
            </w:pPr>
            <w:r w:rsidRPr="004304A2">
              <w:rPr>
                <w:rFonts w:eastAsia="MS Mincho"/>
              </w:rPr>
              <w:t>2017</w:t>
            </w:r>
          </w:p>
        </w:tc>
        <w:tc>
          <w:tcPr>
            <w:tcW w:w="1260" w:type="dxa"/>
          </w:tcPr>
          <w:p w14:paraId="5A74C537" w14:textId="77777777" w:rsidR="004304A2" w:rsidRPr="004304A2" w:rsidRDefault="004304A2" w:rsidP="004304A2">
            <w:pPr>
              <w:tabs>
                <w:tab w:val="left" w:pos="1140"/>
              </w:tabs>
              <w:spacing w:after="200" w:line="276" w:lineRule="auto"/>
              <w:rPr>
                <w:rFonts w:eastAsia="MS Mincho"/>
              </w:rPr>
            </w:pPr>
            <w:r w:rsidRPr="004304A2">
              <w:rPr>
                <w:rFonts w:eastAsia="MS Mincho"/>
              </w:rPr>
              <w:t>170.80</w:t>
            </w:r>
          </w:p>
        </w:tc>
        <w:tc>
          <w:tcPr>
            <w:tcW w:w="1530" w:type="dxa"/>
          </w:tcPr>
          <w:p w14:paraId="4CBEBCFA" w14:textId="77777777" w:rsidR="004304A2" w:rsidRPr="004304A2" w:rsidRDefault="004304A2" w:rsidP="004304A2">
            <w:pPr>
              <w:tabs>
                <w:tab w:val="left" w:pos="1140"/>
              </w:tabs>
              <w:spacing w:after="200" w:line="276" w:lineRule="auto"/>
              <w:rPr>
                <w:rFonts w:eastAsia="MS Mincho"/>
              </w:rPr>
            </w:pPr>
            <w:r w:rsidRPr="004304A2">
              <w:rPr>
                <w:rFonts w:eastAsia="MS Mincho"/>
              </w:rPr>
              <w:t>181.14</w:t>
            </w:r>
          </w:p>
        </w:tc>
        <w:tc>
          <w:tcPr>
            <w:tcW w:w="1530" w:type="dxa"/>
          </w:tcPr>
          <w:p w14:paraId="4C648F2C" w14:textId="77777777" w:rsidR="004304A2" w:rsidRPr="004304A2" w:rsidRDefault="004304A2" w:rsidP="004304A2">
            <w:pPr>
              <w:tabs>
                <w:tab w:val="left" w:pos="1140"/>
              </w:tabs>
              <w:spacing w:after="200" w:line="276" w:lineRule="auto"/>
              <w:rPr>
                <w:rFonts w:eastAsia="MS Mincho"/>
              </w:rPr>
            </w:pPr>
            <w:r w:rsidRPr="004304A2">
              <w:rPr>
                <w:rFonts w:eastAsia="MS Mincho"/>
              </w:rPr>
              <w:t>*</w:t>
            </w:r>
          </w:p>
        </w:tc>
        <w:tc>
          <w:tcPr>
            <w:tcW w:w="1350" w:type="dxa"/>
          </w:tcPr>
          <w:p w14:paraId="48D56858" w14:textId="77777777" w:rsidR="004304A2" w:rsidRPr="004304A2" w:rsidRDefault="004304A2" w:rsidP="004304A2">
            <w:pPr>
              <w:tabs>
                <w:tab w:val="left" w:pos="1140"/>
              </w:tabs>
              <w:spacing w:after="200" w:line="276" w:lineRule="auto"/>
              <w:rPr>
                <w:rFonts w:eastAsia="MS Mincho"/>
              </w:rPr>
            </w:pPr>
            <w:r w:rsidRPr="004304A2">
              <w:rPr>
                <w:rFonts w:eastAsia="MS Mincho"/>
              </w:rPr>
              <w:t>16.14</w:t>
            </w:r>
          </w:p>
        </w:tc>
        <w:tc>
          <w:tcPr>
            <w:tcW w:w="1440" w:type="dxa"/>
          </w:tcPr>
          <w:p w14:paraId="3E10DE3F" w14:textId="77777777" w:rsidR="004304A2" w:rsidRPr="004304A2" w:rsidRDefault="004304A2" w:rsidP="004304A2">
            <w:pPr>
              <w:tabs>
                <w:tab w:val="left" w:pos="1140"/>
              </w:tabs>
              <w:spacing w:after="200" w:line="276" w:lineRule="auto"/>
              <w:rPr>
                <w:rFonts w:eastAsia="MS Mincho"/>
              </w:rPr>
            </w:pPr>
            <w:r w:rsidRPr="004304A2">
              <w:rPr>
                <w:rFonts w:eastAsia="MS Mincho"/>
              </w:rPr>
              <w:t>16.07</w:t>
            </w:r>
          </w:p>
        </w:tc>
        <w:tc>
          <w:tcPr>
            <w:tcW w:w="1440" w:type="dxa"/>
          </w:tcPr>
          <w:p w14:paraId="282AEE68" w14:textId="77777777" w:rsidR="004304A2" w:rsidRPr="004304A2" w:rsidRDefault="004304A2" w:rsidP="004304A2">
            <w:pPr>
              <w:tabs>
                <w:tab w:val="left" w:pos="1140"/>
              </w:tabs>
              <w:spacing w:after="200" w:line="276" w:lineRule="auto"/>
              <w:rPr>
                <w:rFonts w:eastAsia="MS Mincho"/>
              </w:rPr>
            </w:pPr>
            <w:r w:rsidRPr="004304A2">
              <w:rPr>
                <w:rFonts w:eastAsia="MS Mincho"/>
              </w:rPr>
              <w:t>*</w:t>
            </w:r>
          </w:p>
        </w:tc>
        <w:tc>
          <w:tcPr>
            <w:tcW w:w="1062" w:type="dxa"/>
          </w:tcPr>
          <w:p w14:paraId="1208C541" w14:textId="77777777" w:rsidR="004304A2" w:rsidRPr="004304A2" w:rsidRDefault="004304A2" w:rsidP="004304A2">
            <w:pPr>
              <w:tabs>
                <w:tab w:val="left" w:pos="1140"/>
              </w:tabs>
              <w:spacing w:after="200" w:line="276" w:lineRule="auto"/>
              <w:rPr>
                <w:rFonts w:eastAsia="MS Mincho"/>
              </w:rPr>
            </w:pPr>
            <w:r w:rsidRPr="004304A2">
              <w:rPr>
                <w:rFonts w:eastAsia="MS Mincho"/>
              </w:rPr>
              <w:t>69</w:t>
            </w:r>
          </w:p>
        </w:tc>
      </w:tr>
      <w:tr w:rsidR="004304A2" w:rsidRPr="004304A2" w14:paraId="7123903B" w14:textId="77777777" w:rsidTr="00C93D65">
        <w:tc>
          <w:tcPr>
            <w:tcW w:w="2520" w:type="dxa"/>
            <w:vMerge w:val="restart"/>
          </w:tcPr>
          <w:p w14:paraId="662588F2" w14:textId="77777777" w:rsidR="004304A2" w:rsidRPr="004304A2" w:rsidRDefault="004304A2" w:rsidP="004304A2">
            <w:pPr>
              <w:tabs>
                <w:tab w:val="left" w:pos="1140"/>
              </w:tabs>
              <w:spacing w:after="200" w:line="276" w:lineRule="auto"/>
              <w:rPr>
                <w:rFonts w:eastAsia="MS Mincho"/>
              </w:rPr>
            </w:pPr>
            <w:r w:rsidRPr="004304A2">
              <w:rPr>
                <w:rFonts w:eastAsia="MS Mincho"/>
              </w:rPr>
              <w:t>Third-Grade Math</w:t>
            </w:r>
          </w:p>
        </w:tc>
        <w:tc>
          <w:tcPr>
            <w:tcW w:w="1710" w:type="dxa"/>
          </w:tcPr>
          <w:p w14:paraId="4903982F" w14:textId="77777777" w:rsidR="004304A2" w:rsidRPr="004304A2" w:rsidRDefault="004304A2" w:rsidP="004304A2">
            <w:pPr>
              <w:tabs>
                <w:tab w:val="left" w:pos="1140"/>
              </w:tabs>
              <w:spacing w:after="200" w:line="276" w:lineRule="auto"/>
              <w:rPr>
                <w:rFonts w:eastAsia="MS Mincho"/>
              </w:rPr>
            </w:pPr>
            <w:r w:rsidRPr="004304A2">
              <w:rPr>
                <w:rFonts w:eastAsia="MS Mincho"/>
              </w:rPr>
              <w:t>Comparison</w:t>
            </w:r>
          </w:p>
        </w:tc>
        <w:tc>
          <w:tcPr>
            <w:tcW w:w="900" w:type="dxa"/>
          </w:tcPr>
          <w:p w14:paraId="29F22EF9" w14:textId="77777777" w:rsidR="004304A2" w:rsidRPr="004304A2" w:rsidRDefault="004304A2" w:rsidP="004304A2">
            <w:pPr>
              <w:tabs>
                <w:tab w:val="left" w:pos="1140"/>
              </w:tabs>
              <w:spacing w:after="200" w:line="276" w:lineRule="auto"/>
              <w:rPr>
                <w:rFonts w:eastAsia="MS Mincho"/>
              </w:rPr>
            </w:pPr>
            <w:r w:rsidRPr="004304A2">
              <w:rPr>
                <w:rFonts w:eastAsia="MS Mincho"/>
              </w:rPr>
              <w:t>2017</w:t>
            </w:r>
          </w:p>
        </w:tc>
        <w:tc>
          <w:tcPr>
            <w:tcW w:w="1260" w:type="dxa"/>
          </w:tcPr>
          <w:p w14:paraId="4B00CF83" w14:textId="77777777" w:rsidR="004304A2" w:rsidRPr="004304A2" w:rsidRDefault="004304A2" w:rsidP="004304A2">
            <w:pPr>
              <w:tabs>
                <w:tab w:val="left" w:pos="1140"/>
              </w:tabs>
              <w:spacing w:after="200" w:line="276" w:lineRule="auto"/>
              <w:rPr>
                <w:rFonts w:eastAsia="MS Mincho"/>
              </w:rPr>
            </w:pPr>
            <w:r w:rsidRPr="004304A2">
              <w:rPr>
                <w:rFonts w:eastAsia="MS Mincho"/>
              </w:rPr>
              <w:t>187.84</w:t>
            </w:r>
          </w:p>
        </w:tc>
        <w:tc>
          <w:tcPr>
            <w:tcW w:w="1530" w:type="dxa"/>
          </w:tcPr>
          <w:p w14:paraId="7925B23F" w14:textId="77777777" w:rsidR="004304A2" w:rsidRPr="004304A2" w:rsidRDefault="004304A2" w:rsidP="004304A2">
            <w:pPr>
              <w:tabs>
                <w:tab w:val="left" w:pos="1140"/>
              </w:tabs>
              <w:spacing w:after="200" w:line="276" w:lineRule="auto"/>
              <w:rPr>
                <w:rFonts w:eastAsia="MS Mincho"/>
              </w:rPr>
            </w:pPr>
            <w:r w:rsidRPr="004304A2">
              <w:rPr>
                <w:rFonts w:eastAsia="MS Mincho"/>
              </w:rPr>
              <w:t>195.16</w:t>
            </w:r>
          </w:p>
        </w:tc>
        <w:tc>
          <w:tcPr>
            <w:tcW w:w="1530" w:type="dxa"/>
          </w:tcPr>
          <w:p w14:paraId="36341D0A" w14:textId="77777777" w:rsidR="004304A2" w:rsidRPr="004304A2" w:rsidRDefault="004304A2" w:rsidP="004304A2">
            <w:pPr>
              <w:tabs>
                <w:tab w:val="left" w:pos="1140"/>
              </w:tabs>
              <w:spacing w:after="200" w:line="276" w:lineRule="auto"/>
              <w:rPr>
                <w:rFonts w:eastAsia="MS Mincho"/>
              </w:rPr>
            </w:pPr>
            <w:r w:rsidRPr="004304A2">
              <w:rPr>
                <w:rFonts w:eastAsia="MS Mincho"/>
              </w:rPr>
              <w:t>*</w:t>
            </w:r>
          </w:p>
        </w:tc>
        <w:tc>
          <w:tcPr>
            <w:tcW w:w="1350" w:type="dxa"/>
          </w:tcPr>
          <w:p w14:paraId="084ACFBE" w14:textId="77777777" w:rsidR="004304A2" w:rsidRPr="004304A2" w:rsidRDefault="004304A2" w:rsidP="004304A2">
            <w:pPr>
              <w:tabs>
                <w:tab w:val="left" w:pos="1140"/>
              </w:tabs>
              <w:spacing w:after="200" w:line="276" w:lineRule="auto"/>
              <w:rPr>
                <w:rFonts w:eastAsia="MS Mincho"/>
              </w:rPr>
            </w:pPr>
            <w:r w:rsidRPr="004304A2">
              <w:rPr>
                <w:rFonts w:eastAsia="MS Mincho"/>
              </w:rPr>
              <w:t>12.23</w:t>
            </w:r>
          </w:p>
        </w:tc>
        <w:tc>
          <w:tcPr>
            <w:tcW w:w="1440" w:type="dxa"/>
          </w:tcPr>
          <w:p w14:paraId="39106DF6" w14:textId="77777777" w:rsidR="004304A2" w:rsidRPr="004304A2" w:rsidRDefault="004304A2" w:rsidP="004304A2">
            <w:pPr>
              <w:tabs>
                <w:tab w:val="left" w:pos="1140"/>
              </w:tabs>
              <w:spacing w:after="200" w:line="276" w:lineRule="auto"/>
              <w:rPr>
                <w:rFonts w:eastAsia="MS Mincho"/>
              </w:rPr>
            </w:pPr>
            <w:r w:rsidRPr="004304A2">
              <w:rPr>
                <w:rFonts w:eastAsia="MS Mincho"/>
              </w:rPr>
              <w:t>9.05</w:t>
            </w:r>
          </w:p>
        </w:tc>
        <w:tc>
          <w:tcPr>
            <w:tcW w:w="1440" w:type="dxa"/>
          </w:tcPr>
          <w:p w14:paraId="46574A36" w14:textId="77777777" w:rsidR="004304A2" w:rsidRPr="004304A2" w:rsidRDefault="004304A2" w:rsidP="004304A2">
            <w:pPr>
              <w:tabs>
                <w:tab w:val="left" w:pos="1140"/>
              </w:tabs>
              <w:spacing w:after="200" w:line="276" w:lineRule="auto"/>
              <w:rPr>
                <w:rFonts w:eastAsia="MS Mincho"/>
              </w:rPr>
            </w:pPr>
            <w:r w:rsidRPr="004304A2">
              <w:rPr>
                <w:rFonts w:eastAsia="MS Mincho"/>
              </w:rPr>
              <w:t>*</w:t>
            </w:r>
          </w:p>
        </w:tc>
        <w:tc>
          <w:tcPr>
            <w:tcW w:w="1062" w:type="dxa"/>
          </w:tcPr>
          <w:p w14:paraId="1DC6DD46" w14:textId="77777777" w:rsidR="004304A2" w:rsidRPr="004304A2" w:rsidRDefault="004304A2" w:rsidP="004304A2">
            <w:pPr>
              <w:tabs>
                <w:tab w:val="left" w:pos="1140"/>
              </w:tabs>
              <w:spacing w:after="200" w:line="276" w:lineRule="auto"/>
              <w:rPr>
                <w:rFonts w:eastAsia="MS Mincho"/>
              </w:rPr>
            </w:pPr>
            <w:r w:rsidRPr="004304A2">
              <w:rPr>
                <w:rFonts w:eastAsia="MS Mincho"/>
              </w:rPr>
              <w:t>19</w:t>
            </w:r>
          </w:p>
        </w:tc>
      </w:tr>
      <w:tr w:rsidR="004304A2" w:rsidRPr="004304A2" w14:paraId="56776555" w14:textId="77777777" w:rsidTr="00C93D65">
        <w:tc>
          <w:tcPr>
            <w:tcW w:w="2520" w:type="dxa"/>
            <w:vMerge/>
          </w:tcPr>
          <w:p w14:paraId="7C612469" w14:textId="77777777" w:rsidR="004304A2" w:rsidRPr="004304A2" w:rsidRDefault="004304A2" w:rsidP="004304A2">
            <w:pPr>
              <w:tabs>
                <w:tab w:val="left" w:pos="1140"/>
              </w:tabs>
              <w:spacing w:after="200" w:line="276" w:lineRule="auto"/>
              <w:rPr>
                <w:rFonts w:eastAsia="MS Mincho"/>
              </w:rPr>
            </w:pPr>
          </w:p>
        </w:tc>
        <w:tc>
          <w:tcPr>
            <w:tcW w:w="1710" w:type="dxa"/>
          </w:tcPr>
          <w:p w14:paraId="35BECF73" w14:textId="77777777" w:rsidR="004304A2" w:rsidRPr="004304A2" w:rsidRDefault="004304A2" w:rsidP="004304A2">
            <w:pPr>
              <w:tabs>
                <w:tab w:val="left" w:pos="1140"/>
              </w:tabs>
              <w:spacing w:after="200" w:line="276" w:lineRule="auto"/>
              <w:rPr>
                <w:rFonts w:eastAsia="MS Mincho"/>
              </w:rPr>
            </w:pPr>
            <w:r w:rsidRPr="004304A2">
              <w:rPr>
                <w:rFonts w:eastAsia="MS Mincho"/>
              </w:rPr>
              <w:t>Treatment</w:t>
            </w:r>
          </w:p>
        </w:tc>
        <w:tc>
          <w:tcPr>
            <w:tcW w:w="900" w:type="dxa"/>
          </w:tcPr>
          <w:p w14:paraId="742939A1" w14:textId="77777777" w:rsidR="004304A2" w:rsidRPr="004304A2" w:rsidRDefault="004304A2" w:rsidP="004304A2">
            <w:pPr>
              <w:tabs>
                <w:tab w:val="left" w:pos="1140"/>
              </w:tabs>
              <w:spacing w:after="200" w:line="276" w:lineRule="auto"/>
              <w:rPr>
                <w:rFonts w:eastAsia="MS Mincho"/>
              </w:rPr>
            </w:pPr>
            <w:r w:rsidRPr="004304A2">
              <w:rPr>
                <w:rFonts w:eastAsia="MS Mincho"/>
              </w:rPr>
              <w:t>2017</w:t>
            </w:r>
          </w:p>
        </w:tc>
        <w:tc>
          <w:tcPr>
            <w:tcW w:w="1260" w:type="dxa"/>
          </w:tcPr>
          <w:p w14:paraId="6C94C0EF" w14:textId="77777777" w:rsidR="004304A2" w:rsidRPr="004304A2" w:rsidRDefault="004304A2" w:rsidP="004304A2">
            <w:pPr>
              <w:tabs>
                <w:tab w:val="left" w:pos="1140"/>
              </w:tabs>
              <w:spacing w:after="200" w:line="276" w:lineRule="auto"/>
              <w:rPr>
                <w:rFonts w:eastAsia="MS Mincho"/>
              </w:rPr>
            </w:pPr>
            <w:r w:rsidRPr="004304A2">
              <w:rPr>
                <w:rFonts w:eastAsia="MS Mincho"/>
              </w:rPr>
              <w:t>189.97</w:t>
            </w:r>
          </w:p>
        </w:tc>
        <w:tc>
          <w:tcPr>
            <w:tcW w:w="1530" w:type="dxa"/>
          </w:tcPr>
          <w:p w14:paraId="21BA7CF3" w14:textId="77777777" w:rsidR="004304A2" w:rsidRPr="004304A2" w:rsidRDefault="004304A2" w:rsidP="004304A2">
            <w:pPr>
              <w:tabs>
                <w:tab w:val="left" w:pos="1140"/>
              </w:tabs>
              <w:spacing w:after="200" w:line="276" w:lineRule="auto"/>
              <w:rPr>
                <w:rFonts w:eastAsia="MS Mincho"/>
              </w:rPr>
            </w:pPr>
            <w:r w:rsidRPr="004304A2">
              <w:rPr>
                <w:rFonts w:eastAsia="MS Mincho"/>
              </w:rPr>
              <w:t>195.43</w:t>
            </w:r>
          </w:p>
        </w:tc>
        <w:tc>
          <w:tcPr>
            <w:tcW w:w="1530" w:type="dxa"/>
          </w:tcPr>
          <w:p w14:paraId="0A582DF4" w14:textId="77777777" w:rsidR="004304A2" w:rsidRPr="004304A2" w:rsidRDefault="004304A2" w:rsidP="004304A2">
            <w:pPr>
              <w:tabs>
                <w:tab w:val="left" w:pos="1140"/>
              </w:tabs>
              <w:spacing w:after="200" w:line="276" w:lineRule="auto"/>
              <w:rPr>
                <w:rFonts w:eastAsia="MS Mincho"/>
              </w:rPr>
            </w:pPr>
            <w:r w:rsidRPr="004304A2">
              <w:rPr>
                <w:rFonts w:eastAsia="MS Mincho"/>
              </w:rPr>
              <w:t>*</w:t>
            </w:r>
          </w:p>
        </w:tc>
        <w:tc>
          <w:tcPr>
            <w:tcW w:w="1350" w:type="dxa"/>
          </w:tcPr>
          <w:p w14:paraId="73E79B8A" w14:textId="77777777" w:rsidR="004304A2" w:rsidRPr="004304A2" w:rsidRDefault="004304A2" w:rsidP="004304A2">
            <w:pPr>
              <w:tabs>
                <w:tab w:val="left" w:pos="1140"/>
              </w:tabs>
              <w:spacing w:after="200" w:line="276" w:lineRule="auto"/>
              <w:rPr>
                <w:rFonts w:eastAsia="MS Mincho"/>
              </w:rPr>
            </w:pPr>
            <w:r w:rsidRPr="004304A2">
              <w:rPr>
                <w:rFonts w:eastAsia="MS Mincho"/>
              </w:rPr>
              <w:t>9.89</w:t>
            </w:r>
          </w:p>
        </w:tc>
        <w:tc>
          <w:tcPr>
            <w:tcW w:w="1440" w:type="dxa"/>
          </w:tcPr>
          <w:p w14:paraId="1746FC4A" w14:textId="77777777" w:rsidR="004304A2" w:rsidRPr="004304A2" w:rsidRDefault="004304A2" w:rsidP="004304A2">
            <w:pPr>
              <w:tabs>
                <w:tab w:val="left" w:pos="1140"/>
              </w:tabs>
              <w:spacing w:after="200" w:line="276" w:lineRule="auto"/>
              <w:rPr>
                <w:rFonts w:eastAsia="MS Mincho"/>
              </w:rPr>
            </w:pPr>
            <w:r w:rsidRPr="004304A2">
              <w:rPr>
                <w:rFonts w:eastAsia="MS Mincho"/>
              </w:rPr>
              <w:t>9.74</w:t>
            </w:r>
          </w:p>
        </w:tc>
        <w:tc>
          <w:tcPr>
            <w:tcW w:w="1440" w:type="dxa"/>
          </w:tcPr>
          <w:p w14:paraId="19495FCD" w14:textId="77777777" w:rsidR="004304A2" w:rsidRPr="004304A2" w:rsidRDefault="004304A2" w:rsidP="004304A2">
            <w:pPr>
              <w:tabs>
                <w:tab w:val="left" w:pos="1140"/>
              </w:tabs>
              <w:spacing w:after="200" w:line="276" w:lineRule="auto"/>
              <w:rPr>
                <w:rFonts w:eastAsia="MS Mincho"/>
              </w:rPr>
            </w:pPr>
            <w:r w:rsidRPr="004304A2">
              <w:rPr>
                <w:rFonts w:eastAsia="MS Mincho"/>
              </w:rPr>
              <w:t>*</w:t>
            </w:r>
          </w:p>
        </w:tc>
        <w:tc>
          <w:tcPr>
            <w:tcW w:w="1062" w:type="dxa"/>
          </w:tcPr>
          <w:p w14:paraId="2EED08CD" w14:textId="77777777" w:rsidR="004304A2" w:rsidRPr="004304A2" w:rsidRDefault="004304A2" w:rsidP="004304A2">
            <w:pPr>
              <w:tabs>
                <w:tab w:val="left" w:pos="1140"/>
              </w:tabs>
              <w:spacing w:after="200" w:line="276" w:lineRule="auto"/>
              <w:rPr>
                <w:rFonts w:eastAsia="MS Mincho"/>
              </w:rPr>
            </w:pPr>
            <w:r w:rsidRPr="004304A2">
              <w:rPr>
                <w:rFonts w:eastAsia="MS Mincho"/>
              </w:rPr>
              <w:t>37</w:t>
            </w:r>
          </w:p>
        </w:tc>
      </w:tr>
      <w:tr w:rsidR="004304A2" w:rsidRPr="004304A2" w14:paraId="4F4405F7" w14:textId="77777777" w:rsidTr="00C93D65">
        <w:tc>
          <w:tcPr>
            <w:tcW w:w="2520" w:type="dxa"/>
            <w:vMerge w:val="restart"/>
          </w:tcPr>
          <w:p w14:paraId="3D7744F2" w14:textId="77777777" w:rsidR="004304A2" w:rsidRPr="004304A2" w:rsidRDefault="004304A2" w:rsidP="004304A2">
            <w:pPr>
              <w:tabs>
                <w:tab w:val="left" w:pos="1140"/>
              </w:tabs>
              <w:spacing w:after="200" w:line="276" w:lineRule="auto"/>
              <w:rPr>
                <w:rFonts w:eastAsia="MS Mincho"/>
              </w:rPr>
            </w:pPr>
            <w:r w:rsidRPr="004304A2">
              <w:rPr>
                <w:rFonts w:eastAsia="MS Mincho"/>
              </w:rPr>
              <w:t>Third-Grade Reading</w:t>
            </w:r>
          </w:p>
        </w:tc>
        <w:tc>
          <w:tcPr>
            <w:tcW w:w="1710" w:type="dxa"/>
          </w:tcPr>
          <w:p w14:paraId="239CD44D" w14:textId="77777777" w:rsidR="004304A2" w:rsidRPr="004304A2" w:rsidRDefault="004304A2" w:rsidP="004304A2">
            <w:pPr>
              <w:tabs>
                <w:tab w:val="left" w:pos="1140"/>
              </w:tabs>
              <w:spacing w:after="200" w:line="276" w:lineRule="auto"/>
              <w:rPr>
                <w:rFonts w:eastAsia="MS Mincho"/>
              </w:rPr>
            </w:pPr>
            <w:r w:rsidRPr="004304A2">
              <w:rPr>
                <w:rFonts w:eastAsia="MS Mincho"/>
              </w:rPr>
              <w:t>Comparison</w:t>
            </w:r>
          </w:p>
        </w:tc>
        <w:tc>
          <w:tcPr>
            <w:tcW w:w="900" w:type="dxa"/>
          </w:tcPr>
          <w:p w14:paraId="52896663" w14:textId="77777777" w:rsidR="004304A2" w:rsidRPr="004304A2" w:rsidRDefault="004304A2" w:rsidP="004304A2">
            <w:pPr>
              <w:tabs>
                <w:tab w:val="left" w:pos="1140"/>
              </w:tabs>
              <w:spacing w:after="200" w:line="276" w:lineRule="auto"/>
              <w:rPr>
                <w:rFonts w:eastAsia="MS Mincho"/>
              </w:rPr>
            </w:pPr>
            <w:r w:rsidRPr="004304A2">
              <w:rPr>
                <w:rFonts w:eastAsia="MS Mincho"/>
              </w:rPr>
              <w:t>2017</w:t>
            </w:r>
          </w:p>
        </w:tc>
        <w:tc>
          <w:tcPr>
            <w:tcW w:w="1260" w:type="dxa"/>
          </w:tcPr>
          <w:p w14:paraId="7C29CAB0" w14:textId="77777777" w:rsidR="004304A2" w:rsidRPr="004304A2" w:rsidRDefault="004304A2" w:rsidP="004304A2">
            <w:pPr>
              <w:tabs>
                <w:tab w:val="left" w:pos="1140"/>
              </w:tabs>
              <w:spacing w:after="200" w:line="276" w:lineRule="auto"/>
              <w:rPr>
                <w:rFonts w:eastAsia="MS Mincho"/>
              </w:rPr>
            </w:pPr>
            <w:r w:rsidRPr="004304A2">
              <w:rPr>
                <w:rFonts w:eastAsia="MS Mincho"/>
              </w:rPr>
              <w:t>186.32</w:t>
            </w:r>
          </w:p>
        </w:tc>
        <w:tc>
          <w:tcPr>
            <w:tcW w:w="1530" w:type="dxa"/>
          </w:tcPr>
          <w:p w14:paraId="6A51C343" w14:textId="77777777" w:rsidR="004304A2" w:rsidRPr="004304A2" w:rsidRDefault="004304A2" w:rsidP="004304A2">
            <w:pPr>
              <w:tabs>
                <w:tab w:val="left" w:pos="1140"/>
              </w:tabs>
              <w:spacing w:after="200" w:line="276" w:lineRule="auto"/>
              <w:rPr>
                <w:rFonts w:eastAsia="MS Mincho"/>
              </w:rPr>
            </w:pPr>
            <w:r w:rsidRPr="004304A2">
              <w:rPr>
                <w:rFonts w:eastAsia="MS Mincho"/>
              </w:rPr>
              <w:t>188.37</w:t>
            </w:r>
          </w:p>
        </w:tc>
        <w:tc>
          <w:tcPr>
            <w:tcW w:w="1530" w:type="dxa"/>
          </w:tcPr>
          <w:p w14:paraId="5DBCCEF5" w14:textId="77777777" w:rsidR="004304A2" w:rsidRPr="004304A2" w:rsidRDefault="004304A2" w:rsidP="004304A2">
            <w:pPr>
              <w:tabs>
                <w:tab w:val="left" w:pos="1140"/>
              </w:tabs>
              <w:spacing w:after="200" w:line="276" w:lineRule="auto"/>
              <w:rPr>
                <w:rFonts w:eastAsia="MS Mincho"/>
              </w:rPr>
            </w:pPr>
            <w:r w:rsidRPr="004304A2">
              <w:rPr>
                <w:rFonts w:eastAsia="MS Mincho"/>
              </w:rPr>
              <w:t>*</w:t>
            </w:r>
          </w:p>
        </w:tc>
        <w:tc>
          <w:tcPr>
            <w:tcW w:w="1350" w:type="dxa"/>
          </w:tcPr>
          <w:p w14:paraId="2F5C833E" w14:textId="77777777" w:rsidR="004304A2" w:rsidRPr="004304A2" w:rsidRDefault="004304A2" w:rsidP="004304A2">
            <w:pPr>
              <w:tabs>
                <w:tab w:val="left" w:pos="1140"/>
              </w:tabs>
              <w:spacing w:after="200" w:line="276" w:lineRule="auto"/>
              <w:rPr>
                <w:rFonts w:eastAsia="MS Mincho"/>
              </w:rPr>
            </w:pPr>
            <w:r w:rsidRPr="004304A2">
              <w:rPr>
                <w:rFonts w:eastAsia="MS Mincho"/>
              </w:rPr>
              <w:t>11.91</w:t>
            </w:r>
          </w:p>
        </w:tc>
        <w:tc>
          <w:tcPr>
            <w:tcW w:w="1440" w:type="dxa"/>
          </w:tcPr>
          <w:p w14:paraId="0B23AD21" w14:textId="77777777" w:rsidR="004304A2" w:rsidRPr="004304A2" w:rsidRDefault="004304A2" w:rsidP="004304A2">
            <w:pPr>
              <w:tabs>
                <w:tab w:val="left" w:pos="1140"/>
              </w:tabs>
              <w:spacing w:after="200" w:line="276" w:lineRule="auto"/>
              <w:rPr>
                <w:rFonts w:eastAsia="MS Mincho"/>
              </w:rPr>
            </w:pPr>
            <w:r w:rsidRPr="004304A2">
              <w:rPr>
                <w:rFonts w:eastAsia="MS Mincho"/>
              </w:rPr>
              <w:t>11.98</w:t>
            </w:r>
          </w:p>
        </w:tc>
        <w:tc>
          <w:tcPr>
            <w:tcW w:w="1440" w:type="dxa"/>
          </w:tcPr>
          <w:p w14:paraId="72B58907" w14:textId="77777777" w:rsidR="004304A2" w:rsidRPr="004304A2" w:rsidRDefault="004304A2" w:rsidP="004304A2">
            <w:pPr>
              <w:tabs>
                <w:tab w:val="left" w:pos="1140"/>
              </w:tabs>
              <w:spacing w:after="200" w:line="276" w:lineRule="auto"/>
              <w:rPr>
                <w:rFonts w:eastAsia="MS Mincho"/>
              </w:rPr>
            </w:pPr>
            <w:r w:rsidRPr="004304A2">
              <w:rPr>
                <w:rFonts w:eastAsia="MS Mincho"/>
              </w:rPr>
              <w:t>*</w:t>
            </w:r>
          </w:p>
        </w:tc>
        <w:tc>
          <w:tcPr>
            <w:tcW w:w="1062" w:type="dxa"/>
          </w:tcPr>
          <w:p w14:paraId="3956BAAB" w14:textId="77777777" w:rsidR="004304A2" w:rsidRPr="004304A2" w:rsidRDefault="004304A2" w:rsidP="004304A2">
            <w:pPr>
              <w:tabs>
                <w:tab w:val="left" w:pos="1140"/>
              </w:tabs>
              <w:spacing w:after="200" w:line="276" w:lineRule="auto"/>
              <w:rPr>
                <w:rFonts w:eastAsia="MS Mincho"/>
              </w:rPr>
            </w:pPr>
            <w:r w:rsidRPr="004304A2">
              <w:rPr>
                <w:rFonts w:eastAsia="MS Mincho"/>
              </w:rPr>
              <w:t>19</w:t>
            </w:r>
          </w:p>
        </w:tc>
      </w:tr>
      <w:tr w:rsidR="004304A2" w:rsidRPr="004304A2" w14:paraId="2BEC3C87" w14:textId="77777777" w:rsidTr="00C93D65">
        <w:tc>
          <w:tcPr>
            <w:tcW w:w="2520" w:type="dxa"/>
            <w:vMerge/>
          </w:tcPr>
          <w:p w14:paraId="7FA5B862" w14:textId="77777777" w:rsidR="004304A2" w:rsidRPr="004304A2" w:rsidRDefault="004304A2" w:rsidP="004304A2">
            <w:pPr>
              <w:tabs>
                <w:tab w:val="left" w:pos="1140"/>
              </w:tabs>
              <w:spacing w:after="200" w:line="276" w:lineRule="auto"/>
              <w:rPr>
                <w:rFonts w:eastAsia="MS Mincho"/>
              </w:rPr>
            </w:pPr>
          </w:p>
        </w:tc>
        <w:tc>
          <w:tcPr>
            <w:tcW w:w="1710" w:type="dxa"/>
          </w:tcPr>
          <w:p w14:paraId="139F77C6" w14:textId="77777777" w:rsidR="004304A2" w:rsidRPr="004304A2" w:rsidRDefault="004304A2" w:rsidP="004304A2">
            <w:pPr>
              <w:tabs>
                <w:tab w:val="left" w:pos="1140"/>
              </w:tabs>
              <w:spacing w:after="200" w:line="276" w:lineRule="auto"/>
              <w:rPr>
                <w:rFonts w:eastAsia="MS Mincho"/>
              </w:rPr>
            </w:pPr>
            <w:r w:rsidRPr="004304A2">
              <w:rPr>
                <w:rFonts w:eastAsia="MS Mincho"/>
              </w:rPr>
              <w:t>Treatment</w:t>
            </w:r>
          </w:p>
        </w:tc>
        <w:tc>
          <w:tcPr>
            <w:tcW w:w="900" w:type="dxa"/>
          </w:tcPr>
          <w:p w14:paraId="67C29742" w14:textId="77777777" w:rsidR="004304A2" w:rsidRPr="004304A2" w:rsidRDefault="004304A2" w:rsidP="004304A2">
            <w:pPr>
              <w:tabs>
                <w:tab w:val="left" w:pos="1140"/>
              </w:tabs>
              <w:spacing w:after="200" w:line="276" w:lineRule="auto"/>
              <w:rPr>
                <w:rFonts w:eastAsia="MS Mincho"/>
              </w:rPr>
            </w:pPr>
            <w:r w:rsidRPr="004304A2">
              <w:rPr>
                <w:rFonts w:eastAsia="MS Mincho"/>
              </w:rPr>
              <w:t>2017</w:t>
            </w:r>
          </w:p>
        </w:tc>
        <w:tc>
          <w:tcPr>
            <w:tcW w:w="1260" w:type="dxa"/>
          </w:tcPr>
          <w:p w14:paraId="2F319EE3" w14:textId="77777777" w:rsidR="004304A2" w:rsidRPr="004304A2" w:rsidRDefault="004304A2" w:rsidP="004304A2">
            <w:pPr>
              <w:tabs>
                <w:tab w:val="left" w:pos="1140"/>
              </w:tabs>
              <w:spacing w:after="200" w:line="276" w:lineRule="auto"/>
              <w:rPr>
                <w:rFonts w:eastAsia="MS Mincho"/>
              </w:rPr>
            </w:pPr>
            <w:r w:rsidRPr="004304A2">
              <w:rPr>
                <w:rFonts w:eastAsia="MS Mincho"/>
              </w:rPr>
              <w:t>186.26</w:t>
            </w:r>
          </w:p>
        </w:tc>
        <w:tc>
          <w:tcPr>
            <w:tcW w:w="1530" w:type="dxa"/>
          </w:tcPr>
          <w:p w14:paraId="1DA93120" w14:textId="77777777" w:rsidR="004304A2" w:rsidRPr="004304A2" w:rsidRDefault="004304A2" w:rsidP="004304A2">
            <w:pPr>
              <w:tabs>
                <w:tab w:val="left" w:pos="1140"/>
              </w:tabs>
              <w:spacing w:after="200" w:line="276" w:lineRule="auto"/>
              <w:rPr>
                <w:rFonts w:eastAsia="MS Mincho"/>
              </w:rPr>
            </w:pPr>
            <w:r w:rsidRPr="004304A2">
              <w:rPr>
                <w:rFonts w:eastAsia="MS Mincho"/>
              </w:rPr>
              <w:t>191.42</w:t>
            </w:r>
          </w:p>
        </w:tc>
        <w:tc>
          <w:tcPr>
            <w:tcW w:w="1530" w:type="dxa"/>
          </w:tcPr>
          <w:p w14:paraId="7ECE571D" w14:textId="77777777" w:rsidR="004304A2" w:rsidRPr="004304A2" w:rsidRDefault="004304A2" w:rsidP="004304A2">
            <w:pPr>
              <w:tabs>
                <w:tab w:val="left" w:pos="1140"/>
              </w:tabs>
              <w:spacing w:after="200" w:line="276" w:lineRule="auto"/>
              <w:rPr>
                <w:rFonts w:eastAsia="MS Mincho"/>
              </w:rPr>
            </w:pPr>
            <w:r w:rsidRPr="004304A2">
              <w:rPr>
                <w:rFonts w:eastAsia="MS Mincho"/>
              </w:rPr>
              <w:t>*</w:t>
            </w:r>
          </w:p>
        </w:tc>
        <w:tc>
          <w:tcPr>
            <w:tcW w:w="1350" w:type="dxa"/>
          </w:tcPr>
          <w:p w14:paraId="4CF0E01B" w14:textId="77777777" w:rsidR="004304A2" w:rsidRPr="004304A2" w:rsidRDefault="004304A2" w:rsidP="004304A2">
            <w:pPr>
              <w:tabs>
                <w:tab w:val="left" w:pos="1140"/>
              </w:tabs>
              <w:spacing w:after="200" w:line="276" w:lineRule="auto"/>
              <w:rPr>
                <w:rFonts w:eastAsia="MS Mincho"/>
              </w:rPr>
            </w:pPr>
            <w:r w:rsidRPr="004304A2">
              <w:rPr>
                <w:rFonts w:eastAsia="MS Mincho"/>
              </w:rPr>
              <w:t>12.00</w:t>
            </w:r>
          </w:p>
        </w:tc>
        <w:tc>
          <w:tcPr>
            <w:tcW w:w="1440" w:type="dxa"/>
          </w:tcPr>
          <w:p w14:paraId="4FD24D4A" w14:textId="77777777" w:rsidR="004304A2" w:rsidRPr="004304A2" w:rsidRDefault="004304A2" w:rsidP="004304A2">
            <w:pPr>
              <w:tabs>
                <w:tab w:val="left" w:pos="1140"/>
              </w:tabs>
              <w:spacing w:after="200" w:line="276" w:lineRule="auto"/>
              <w:rPr>
                <w:rFonts w:eastAsia="MS Mincho"/>
              </w:rPr>
            </w:pPr>
            <w:r w:rsidRPr="004304A2">
              <w:rPr>
                <w:rFonts w:eastAsia="MS Mincho"/>
              </w:rPr>
              <w:t>14.14</w:t>
            </w:r>
          </w:p>
        </w:tc>
        <w:tc>
          <w:tcPr>
            <w:tcW w:w="1440" w:type="dxa"/>
          </w:tcPr>
          <w:p w14:paraId="51EBF5C9" w14:textId="77777777" w:rsidR="004304A2" w:rsidRPr="004304A2" w:rsidRDefault="004304A2" w:rsidP="004304A2">
            <w:pPr>
              <w:tabs>
                <w:tab w:val="left" w:pos="1140"/>
              </w:tabs>
              <w:spacing w:after="200" w:line="276" w:lineRule="auto"/>
              <w:rPr>
                <w:rFonts w:eastAsia="MS Mincho"/>
              </w:rPr>
            </w:pPr>
            <w:r w:rsidRPr="004304A2">
              <w:rPr>
                <w:rFonts w:eastAsia="MS Mincho"/>
              </w:rPr>
              <w:t>*</w:t>
            </w:r>
          </w:p>
        </w:tc>
        <w:tc>
          <w:tcPr>
            <w:tcW w:w="1062" w:type="dxa"/>
          </w:tcPr>
          <w:p w14:paraId="6440FB0E" w14:textId="77777777" w:rsidR="004304A2" w:rsidRPr="004304A2" w:rsidRDefault="004304A2" w:rsidP="004304A2">
            <w:pPr>
              <w:tabs>
                <w:tab w:val="left" w:pos="1140"/>
              </w:tabs>
              <w:spacing w:after="200" w:line="276" w:lineRule="auto"/>
              <w:rPr>
                <w:rFonts w:eastAsia="MS Mincho"/>
              </w:rPr>
            </w:pPr>
            <w:r w:rsidRPr="004304A2">
              <w:rPr>
                <w:rFonts w:eastAsia="MS Mincho"/>
              </w:rPr>
              <w:t>38</w:t>
            </w:r>
          </w:p>
        </w:tc>
      </w:tr>
      <w:tr w:rsidR="004304A2" w:rsidRPr="004304A2" w14:paraId="6C58556F" w14:textId="77777777" w:rsidTr="00C93D65">
        <w:tc>
          <w:tcPr>
            <w:tcW w:w="2520" w:type="dxa"/>
            <w:vMerge w:val="restart"/>
          </w:tcPr>
          <w:p w14:paraId="20DAC4DC" w14:textId="77777777" w:rsidR="004304A2" w:rsidRPr="004304A2" w:rsidRDefault="004304A2" w:rsidP="004304A2">
            <w:pPr>
              <w:tabs>
                <w:tab w:val="left" w:pos="1140"/>
              </w:tabs>
              <w:spacing w:after="200" w:line="276" w:lineRule="auto"/>
              <w:rPr>
                <w:rFonts w:eastAsia="MS Mincho"/>
              </w:rPr>
            </w:pPr>
            <w:r w:rsidRPr="004304A2">
              <w:rPr>
                <w:rFonts w:eastAsia="MS Mincho"/>
              </w:rPr>
              <w:t xml:space="preserve">Fourth Grade Math </w:t>
            </w:r>
          </w:p>
        </w:tc>
        <w:tc>
          <w:tcPr>
            <w:tcW w:w="1710" w:type="dxa"/>
          </w:tcPr>
          <w:p w14:paraId="03BF0025" w14:textId="77777777" w:rsidR="004304A2" w:rsidRPr="004304A2" w:rsidRDefault="004304A2" w:rsidP="004304A2">
            <w:pPr>
              <w:tabs>
                <w:tab w:val="left" w:pos="1140"/>
              </w:tabs>
              <w:spacing w:after="200" w:line="276" w:lineRule="auto"/>
              <w:rPr>
                <w:rFonts w:eastAsia="MS Mincho"/>
              </w:rPr>
            </w:pPr>
            <w:r w:rsidRPr="004304A2">
              <w:rPr>
                <w:rFonts w:eastAsia="MS Mincho"/>
              </w:rPr>
              <w:t>Comparison</w:t>
            </w:r>
          </w:p>
        </w:tc>
        <w:tc>
          <w:tcPr>
            <w:tcW w:w="900" w:type="dxa"/>
          </w:tcPr>
          <w:p w14:paraId="51754536" w14:textId="77777777" w:rsidR="004304A2" w:rsidRPr="004304A2" w:rsidRDefault="004304A2" w:rsidP="004304A2">
            <w:pPr>
              <w:tabs>
                <w:tab w:val="left" w:pos="1140"/>
              </w:tabs>
              <w:spacing w:after="200" w:line="276" w:lineRule="auto"/>
              <w:rPr>
                <w:rFonts w:eastAsia="MS Mincho"/>
              </w:rPr>
            </w:pPr>
            <w:r w:rsidRPr="004304A2">
              <w:rPr>
                <w:rFonts w:eastAsia="MS Mincho"/>
              </w:rPr>
              <w:t>2017</w:t>
            </w:r>
          </w:p>
        </w:tc>
        <w:tc>
          <w:tcPr>
            <w:tcW w:w="1260" w:type="dxa"/>
          </w:tcPr>
          <w:p w14:paraId="1AED042F" w14:textId="77777777" w:rsidR="004304A2" w:rsidRPr="004304A2" w:rsidRDefault="004304A2" w:rsidP="004304A2">
            <w:pPr>
              <w:tabs>
                <w:tab w:val="left" w:pos="1140"/>
              </w:tabs>
              <w:spacing w:after="200" w:line="276" w:lineRule="auto"/>
              <w:rPr>
                <w:rFonts w:eastAsia="MS Mincho"/>
              </w:rPr>
            </w:pPr>
            <w:r w:rsidRPr="004304A2">
              <w:rPr>
                <w:rFonts w:eastAsia="MS Mincho"/>
              </w:rPr>
              <w:t>197.13</w:t>
            </w:r>
          </w:p>
        </w:tc>
        <w:tc>
          <w:tcPr>
            <w:tcW w:w="1530" w:type="dxa"/>
          </w:tcPr>
          <w:p w14:paraId="11C63134" w14:textId="77777777" w:rsidR="004304A2" w:rsidRPr="004304A2" w:rsidRDefault="004304A2" w:rsidP="004304A2">
            <w:pPr>
              <w:tabs>
                <w:tab w:val="left" w:pos="1140"/>
              </w:tabs>
              <w:spacing w:after="200" w:line="276" w:lineRule="auto"/>
              <w:rPr>
                <w:rFonts w:eastAsia="MS Mincho"/>
              </w:rPr>
            </w:pPr>
            <w:r w:rsidRPr="004304A2">
              <w:rPr>
                <w:rFonts w:eastAsia="MS Mincho"/>
              </w:rPr>
              <w:t>203.06</w:t>
            </w:r>
          </w:p>
        </w:tc>
        <w:tc>
          <w:tcPr>
            <w:tcW w:w="1530" w:type="dxa"/>
          </w:tcPr>
          <w:p w14:paraId="7B5A5F38" w14:textId="77777777" w:rsidR="004304A2" w:rsidRPr="004304A2" w:rsidRDefault="004304A2" w:rsidP="004304A2">
            <w:pPr>
              <w:tabs>
                <w:tab w:val="left" w:pos="1140"/>
              </w:tabs>
              <w:spacing w:after="200" w:line="276" w:lineRule="auto"/>
              <w:rPr>
                <w:rFonts w:eastAsia="MS Mincho"/>
              </w:rPr>
            </w:pPr>
            <w:r w:rsidRPr="004304A2">
              <w:rPr>
                <w:rFonts w:eastAsia="MS Mincho"/>
              </w:rPr>
              <w:t>*</w:t>
            </w:r>
          </w:p>
        </w:tc>
        <w:tc>
          <w:tcPr>
            <w:tcW w:w="1350" w:type="dxa"/>
          </w:tcPr>
          <w:p w14:paraId="5503E48C" w14:textId="77777777" w:rsidR="004304A2" w:rsidRPr="004304A2" w:rsidRDefault="004304A2" w:rsidP="004304A2">
            <w:pPr>
              <w:tabs>
                <w:tab w:val="left" w:pos="1140"/>
              </w:tabs>
              <w:spacing w:after="200" w:line="276" w:lineRule="auto"/>
              <w:rPr>
                <w:rFonts w:eastAsia="MS Mincho"/>
              </w:rPr>
            </w:pPr>
            <w:r w:rsidRPr="004304A2">
              <w:rPr>
                <w:rFonts w:eastAsia="MS Mincho"/>
              </w:rPr>
              <w:t>12.08</w:t>
            </w:r>
          </w:p>
        </w:tc>
        <w:tc>
          <w:tcPr>
            <w:tcW w:w="1440" w:type="dxa"/>
          </w:tcPr>
          <w:p w14:paraId="1163BCC8" w14:textId="77777777" w:rsidR="004304A2" w:rsidRPr="004304A2" w:rsidRDefault="004304A2" w:rsidP="004304A2">
            <w:pPr>
              <w:tabs>
                <w:tab w:val="left" w:pos="1140"/>
              </w:tabs>
              <w:spacing w:after="200" w:line="276" w:lineRule="auto"/>
              <w:rPr>
                <w:rFonts w:eastAsia="MS Mincho"/>
              </w:rPr>
            </w:pPr>
            <w:r w:rsidRPr="004304A2">
              <w:rPr>
                <w:rFonts w:eastAsia="MS Mincho"/>
              </w:rPr>
              <w:t>12.08</w:t>
            </w:r>
          </w:p>
        </w:tc>
        <w:tc>
          <w:tcPr>
            <w:tcW w:w="1440" w:type="dxa"/>
          </w:tcPr>
          <w:p w14:paraId="3A4E0A0A" w14:textId="77777777" w:rsidR="004304A2" w:rsidRPr="004304A2" w:rsidRDefault="004304A2" w:rsidP="004304A2">
            <w:pPr>
              <w:tabs>
                <w:tab w:val="left" w:pos="1140"/>
              </w:tabs>
              <w:spacing w:after="200" w:line="276" w:lineRule="auto"/>
              <w:rPr>
                <w:rFonts w:eastAsia="MS Mincho"/>
              </w:rPr>
            </w:pPr>
            <w:r w:rsidRPr="004304A2">
              <w:rPr>
                <w:rFonts w:eastAsia="MS Mincho"/>
              </w:rPr>
              <w:t>*</w:t>
            </w:r>
          </w:p>
        </w:tc>
        <w:tc>
          <w:tcPr>
            <w:tcW w:w="1062" w:type="dxa"/>
          </w:tcPr>
          <w:p w14:paraId="5EE4031D" w14:textId="77777777" w:rsidR="004304A2" w:rsidRPr="004304A2" w:rsidRDefault="004304A2" w:rsidP="004304A2">
            <w:pPr>
              <w:tabs>
                <w:tab w:val="left" w:pos="1140"/>
              </w:tabs>
              <w:spacing w:after="200" w:line="276" w:lineRule="auto"/>
              <w:rPr>
                <w:rFonts w:eastAsia="MS Mincho"/>
              </w:rPr>
            </w:pPr>
            <w:r w:rsidRPr="004304A2">
              <w:rPr>
                <w:rFonts w:eastAsia="MS Mincho"/>
              </w:rPr>
              <w:t>63</w:t>
            </w:r>
          </w:p>
        </w:tc>
      </w:tr>
      <w:tr w:rsidR="004304A2" w:rsidRPr="004304A2" w14:paraId="58AF69CB" w14:textId="77777777" w:rsidTr="00C93D65">
        <w:tc>
          <w:tcPr>
            <w:tcW w:w="2520" w:type="dxa"/>
            <w:vMerge/>
          </w:tcPr>
          <w:p w14:paraId="13D284BA" w14:textId="77777777" w:rsidR="004304A2" w:rsidRPr="004304A2" w:rsidRDefault="004304A2" w:rsidP="004304A2">
            <w:pPr>
              <w:tabs>
                <w:tab w:val="left" w:pos="1140"/>
              </w:tabs>
              <w:spacing w:after="200" w:line="276" w:lineRule="auto"/>
              <w:rPr>
                <w:rFonts w:eastAsia="MS Mincho"/>
              </w:rPr>
            </w:pPr>
          </w:p>
        </w:tc>
        <w:tc>
          <w:tcPr>
            <w:tcW w:w="1710" w:type="dxa"/>
          </w:tcPr>
          <w:p w14:paraId="0E3AA1B9" w14:textId="77777777" w:rsidR="004304A2" w:rsidRPr="004304A2" w:rsidRDefault="004304A2" w:rsidP="004304A2">
            <w:pPr>
              <w:tabs>
                <w:tab w:val="left" w:pos="1140"/>
              </w:tabs>
              <w:spacing w:after="200" w:line="276" w:lineRule="auto"/>
              <w:rPr>
                <w:rFonts w:eastAsia="MS Mincho"/>
              </w:rPr>
            </w:pPr>
            <w:r w:rsidRPr="004304A2">
              <w:rPr>
                <w:rFonts w:eastAsia="MS Mincho"/>
              </w:rPr>
              <w:t>Treatment</w:t>
            </w:r>
          </w:p>
        </w:tc>
        <w:tc>
          <w:tcPr>
            <w:tcW w:w="900" w:type="dxa"/>
          </w:tcPr>
          <w:p w14:paraId="7A5AFAFD" w14:textId="77777777" w:rsidR="004304A2" w:rsidRPr="004304A2" w:rsidRDefault="004304A2" w:rsidP="004304A2">
            <w:pPr>
              <w:tabs>
                <w:tab w:val="left" w:pos="1140"/>
              </w:tabs>
              <w:spacing w:after="200" w:line="276" w:lineRule="auto"/>
              <w:rPr>
                <w:rFonts w:eastAsia="MS Mincho"/>
              </w:rPr>
            </w:pPr>
            <w:r w:rsidRPr="004304A2">
              <w:rPr>
                <w:rFonts w:eastAsia="MS Mincho"/>
              </w:rPr>
              <w:t>2017</w:t>
            </w:r>
          </w:p>
        </w:tc>
        <w:tc>
          <w:tcPr>
            <w:tcW w:w="1260" w:type="dxa"/>
          </w:tcPr>
          <w:p w14:paraId="0F5BB260" w14:textId="77777777" w:rsidR="004304A2" w:rsidRPr="004304A2" w:rsidRDefault="004304A2" w:rsidP="004304A2">
            <w:pPr>
              <w:tabs>
                <w:tab w:val="left" w:pos="1140"/>
              </w:tabs>
              <w:spacing w:after="200" w:line="276" w:lineRule="auto"/>
              <w:rPr>
                <w:rFonts w:eastAsia="MS Mincho"/>
              </w:rPr>
            </w:pPr>
            <w:r w:rsidRPr="004304A2">
              <w:rPr>
                <w:rFonts w:eastAsia="MS Mincho"/>
              </w:rPr>
              <w:t>197.72</w:t>
            </w:r>
          </w:p>
        </w:tc>
        <w:tc>
          <w:tcPr>
            <w:tcW w:w="1530" w:type="dxa"/>
          </w:tcPr>
          <w:p w14:paraId="4BD6C718" w14:textId="77777777" w:rsidR="004304A2" w:rsidRPr="004304A2" w:rsidRDefault="004304A2" w:rsidP="004304A2">
            <w:pPr>
              <w:tabs>
                <w:tab w:val="left" w:pos="1140"/>
              </w:tabs>
              <w:spacing w:after="200" w:line="276" w:lineRule="auto"/>
              <w:rPr>
                <w:rFonts w:eastAsia="MS Mincho"/>
              </w:rPr>
            </w:pPr>
            <w:r w:rsidRPr="004304A2">
              <w:rPr>
                <w:rFonts w:eastAsia="MS Mincho"/>
              </w:rPr>
              <w:t>201.72</w:t>
            </w:r>
          </w:p>
        </w:tc>
        <w:tc>
          <w:tcPr>
            <w:tcW w:w="1530" w:type="dxa"/>
          </w:tcPr>
          <w:p w14:paraId="09A0C2BB" w14:textId="77777777" w:rsidR="004304A2" w:rsidRPr="004304A2" w:rsidRDefault="004304A2" w:rsidP="004304A2">
            <w:pPr>
              <w:tabs>
                <w:tab w:val="left" w:pos="1140"/>
              </w:tabs>
              <w:spacing w:after="200" w:line="276" w:lineRule="auto"/>
              <w:rPr>
                <w:rFonts w:eastAsia="MS Mincho"/>
              </w:rPr>
            </w:pPr>
            <w:r w:rsidRPr="004304A2">
              <w:rPr>
                <w:rFonts w:eastAsia="MS Mincho"/>
              </w:rPr>
              <w:t>*</w:t>
            </w:r>
          </w:p>
        </w:tc>
        <w:tc>
          <w:tcPr>
            <w:tcW w:w="1350" w:type="dxa"/>
          </w:tcPr>
          <w:p w14:paraId="775B3FB2" w14:textId="77777777" w:rsidR="004304A2" w:rsidRPr="004304A2" w:rsidRDefault="004304A2" w:rsidP="004304A2">
            <w:pPr>
              <w:tabs>
                <w:tab w:val="left" w:pos="1140"/>
              </w:tabs>
              <w:spacing w:after="200" w:line="276" w:lineRule="auto"/>
              <w:rPr>
                <w:rFonts w:eastAsia="MS Mincho"/>
              </w:rPr>
            </w:pPr>
            <w:r w:rsidRPr="004304A2">
              <w:rPr>
                <w:rFonts w:eastAsia="MS Mincho"/>
              </w:rPr>
              <w:t>10.60</w:t>
            </w:r>
          </w:p>
        </w:tc>
        <w:tc>
          <w:tcPr>
            <w:tcW w:w="1440" w:type="dxa"/>
          </w:tcPr>
          <w:p w14:paraId="02A77F9C" w14:textId="77777777" w:rsidR="004304A2" w:rsidRPr="004304A2" w:rsidRDefault="004304A2" w:rsidP="004304A2">
            <w:pPr>
              <w:tabs>
                <w:tab w:val="left" w:pos="1140"/>
              </w:tabs>
              <w:spacing w:after="200" w:line="276" w:lineRule="auto"/>
              <w:rPr>
                <w:rFonts w:eastAsia="MS Mincho"/>
              </w:rPr>
            </w:pPr>
            <w:r w:rsidRPr="004304A2">
              <w:rPr>
                <w:rFonts w:eastAsia="MS Mincho"/>
              </w:rPr>
              <w:t>13.17</w:t>
            </w:r>
          </w:p>
        </w:tc>
        <w:tc>
          <w:tcPr>
            <w:tcW w:w="1440" w:type="dxa"/>
          </w:tcPr>
          <w:p w14:paraId="6ED74588" w14:textId="77777777" w:rsidR="004304A2" w:rsidRPr="004304A2" w:rsidRDefault="004304A2" w:rsidP="004304A2">
            <w:pPr>
              <w:tabs>
                <w:tab w:val="left" w:pos="1140"/>
              </w:tabs>
              <w:spacing w:after="200" w:line="276" w:lineRule="auto"/>
              <w:rPr>
                <w:rFonts w:eastAsia="MS Mincho"/>
              </w:rPr>
            </w:pPr>
            <w:r w:rsidRPr="004304A2">
              <w:rPr>
                <w:rFonts w:eastAsia="MS Mincho"/>
              </w:rPr>
              <w:t>*</w:t>
            </w:r>
          </w:p>
        </w:tc>
        <w:tc>
          <w:tcPr>
            <w:tcW w:w="1062" w:type="dxa"/>
          </w:tcPr>
          <w:p w14:paraId="539365A6" w14:textId="77777777" w:rsidR="004304A2" w:rsidRPr="004304A2" w:rsidRDefault="004304A2" w:rsidP="004304A2">
            <w:pPr>
              <w:tabs>
                <w:tab w:val="left" w:pos="1140"/>
              </w:tabs>
              <w:spacing w:after="200" w:line="276" w:lineRule="auto"/>
              <w:rPr>
                <w:rFonts w:eastAsia="MS Mincho"/>
              </w:rPr>
            </w:pPr>
            <w:r w:rsidRPr="004304A2">
              <w:rPr>
                <w:rFonts w:eastAsia="MS Mincho"/>
              </w:rPr>
              <w:t>18</w:t>
            </w:r>
          </w:p>
        </w:tc>
      </w:tr>
      <w:tr w:rsidR="004304A2" w:rsidRPr="004304A2" w14:paraId="10514725" w14:textId="77777777" w:rsidTr="00C93D65">
        <w:tc>
          <w:tcPr>
            <w:tcW w:w="2520" w:type="dxa"/>
            <w:vMerge w:val="restart"/>
          </w:tcPr>
          <w:p w14:paraId="5C7A7E71" w14:textId="77777777" w:rsidR="004304A2" w:rsidRPr="004304A2" w:rsidRDefault="004304A2" w:rsidP="004304A2">
            <w:pPr>
              <w:tabs>
                <w:tab w:val="left" w:pos="1140"/>
              </w:tabs>
              <w:spacing w:after="200" w:line="276" w:lineRule="auto"/>
              <w:rPr>
                <w:rFonts w:eastAsia="MS Mincho"/>
              </w:rPr>
            </w:pPr>
            <w:r w:rsidRPr="004304A2">
              <w:rPr>
                <w:rFonts w:eastAsia="MS Mincho"/>
              </w:rPr>
              <w:t>Fourth-Grade Reading</w:t>
            </w:r>
          </w:p>
        </w:tc>
        <w:tc>
          <w:tcPr>
            <w:tcW w:w="1710" w:type="dxa"/>
          </w:tcPr>
          <w:p w14:paraId="62518BE4" w14:textId="77777777" w:rsidR="004304A2" w:rsidRPr="004304A2" w:rsidRDefault="004304A2" w:rsidP="004304A2">
            <w:pPr>
              <w:tabs>
                <w:tab w:val="left" w:pos="1140"/>
              </w:tabs>
              <w:spacing w:after="200" w:line="276" w:lineRule="auto"/>
              <w:rPr>
                <w:rFonts w:eastAsia="MS Mincho"/>
              </w:rPr>
            </w:pPr>
            <w:r w:rsidRPr="004304A2">
              <w:rPr>
                <w:rFonts w:eastAsia="MS Mincho"/>
              </w:rPr>
              <w:t>Comparison</w:t>
            </w:r>
          </w:p>
        </w:tc>
        <w:tc>
          <w:tcPr>
            <w:tcW w:w="900" w:type="dxa"/>
          </w:tcPr>
          <w:p w14:paraId="6D7097AC" w14:textId="77777777" w:rsidR="004304A2" w:rsidRPr="004304A2" w:rsidRDefault="004304A2" w:rsidP="004304A2">
            <w:pPr>
              <w:tabs>
                <w:tab w:val="left" w:pos="1140"/>
              </w:tabs>
              <w:spacing w:after="200" w:line="276" w:lineRule="auto"/>
              <w:rPr>
                <w:rFonts w:eastAsia="MS Mincho"/>
              </w:rPr>
            </w:pPr>
            <w:r w:rsidRPr="004304A2">
              <w:rPr>
                <w:rFonts w:eastAsia="MS Mincho"/>
              </w:rPr>
              <w:t>2017</w:t>
            </w:r>
          </w:p>
        </w:tc>
        <w:tc>
          <w:tcPr>
            <w:tcW w:w="1260" w:type="dxa"/>
          </w:tcPr>
          <w:p w14:paraId="13778644" w14:textId="77777777" w:rsidR="004304A2" w:rsidRPr="004304A2" w:rsidRDefault="004304A2" w:rsidP="004304A2">
            <w:pPr>
              <w:tabs>
                <w:tab w:val="left" w:pos="1140"/>
              </w:tabs>
              <w:spacing w:after="200" w:line="276" w:lineRule="auto"/>
              <w:rPr>
                <w:rFonts w:eastAsia="MS Mincho"/>
              </w:rPr>
            </w:pPr>
            <w:r w:rsidRPr="004304A2">
              <w:rPr>
                <w:rFonts w:eastAsia="MS Mincho"/>
              </w:rPr>
              <w:t>196.05</w:t>
            </w:r>
          </w:p>
        </w:tc>
        <w:tc>
          <w:tcPr>
            <w:tcW w:w="1530" w:type="dxa"/>
          </w:tcPr>
          <w:p w14:paraId="6B669E04" w14:textId="77777777" w:rsidR="004304A2" w:rsidRPr="004304A2" w:rsidRDefault="004304A2" w:rsidP="004304A2">
            <w:pPr>
              <w:tabs>
                <w:tab w:val="left" w:pos="1140"/>
              </w:tabs>
              <w:spacing w:after="200" w:line="276" w:lineRule="auto"/>
              <w:rPr>
                <w:rFonts w:eastAsia="MS Mincho"/>
              </w:rPr>
            </w:pPr>
            <w:r w:rsidRPr="004304A2">
              <w:rPr>
                <w:rFonts w:eastAsia="MS Mincho"/>
              </w:rPr>
              <w:t>203.16</w:t>
            </w:r>
          </w:p>
        </w:tc>
        <w:tc>
          <w:tcPr>
            <w:tcW w:w="1530" w:type="dxa"/>
          </w:tcPr>
          <w:p w14:paraId="5AC8EBF3" w14:textId="77777777" w:rsidR="004304A2" w:rsidRPr="004304A2" w:rsidRDefault="004304A2" w:rsidP="004304A2">
            <w:pPr>
              <w:tabs>
                <w:tab w:val="left" w:pos="1140"/>
              </w:tabs>
              <w:spacing w:after="200" w:line="276" w:lineRule="auto"/>
              <w:rPr>
                <w:rFonts w:eastAsia="MS Mincho"/>
              </w:rPr>
            </w:pPr>
            <w:r w:rsidRPr="004304A2">
              <w:rPr>
                <w:rFonts w:eastAsia="MS Mincho"/>
              </w:rPr>
              <w:t>*</w:t>
            </w:r>
          </w:p>
        </w:tc>
        <w:tc>
          <w:tcPr>
            <w:tcW w:w="1350" w:type="dxa"/>
          </w:tcPr>
          <w:p w14:paraId="6910A3B7" w14:textId="77777777" w:rsidR="004304A2" w:rsidRPr="004304A2" w:rsidRDefault="004304A2" w:rsidP="004304A2">
            <w:pPr>
              <w:tabs>
                <w:tab w:val="left" w:pos="1140"/>
              </w:tabs>
              <w:spacing w:after="200" w:line="276" w:lineRule="auto"/>
              <w:rPr>
                <w:rFonts w:eastAsia="MS Mincho"/>
              </w:rPr>
            </w:pPr>
            <w:r w:rsidRPr="004304A2">
              <w:rPr>
                <w:rFonts w:eastAsia="MS Mincho"/>
              </w:rPr>
              <w:t>14.94</w:t>
            </w:r>
          </w:p>
        </w:tc>
        <w:tc>
          <w:tcPr>
            <w:tcW w:w="1440" w:type="dxa"/>
          </w:tcPr>
          <w:p w14:paraId="3E658689" w14:textId="77777777" w:rsidR="004304A2" w:rsidRPr="004304A2" w:rsidRDefault="004304A2" w:rsidP="004304A2">
            <w:pPr>
              <w:tabs>
                <w:tab w:val="left" w:pos="1140"/>
              </w:tabs>
              <w:spacing w:after="200" w:line="276" w:lineRule="auto"/>
              <w:rPr>
                <w:rFonts w:eastAsia="MS Mincho"/>
              </w:rPr>
            </w:pPr>
            <w:r w:rsidRPr="004304A2">
              <w:rPr>
                <w:rFonts w:eastAsia="MS Mincho"/>
              </w:rPr>
              <w:t>13.66</w:t>
            </w:r>
          </w:p>
        </w:tc>
        <w:tc>
          <w:tcPr>
            <w:tcW w:w="1440" w:type="dxa"/>
          </w:tcPr>
          <w:p w14:paraId="57E7148D" w14:textId="77777777" w:rsidR="004304A2" w:rsidRPr="004304A2" w:rsidRDefault="004304A2" w:rsidP="004304A2">
            <w:pPr>
              <w:tabs>
                <w:tab w:val="left" w:pos="1140"/>
              </w:tabs>
              <w:spacing w:after="200" w:line="276" w:lineRule="auto"/>
              <w:rPr>
                <w:rFonts w:eastAsia="MS Mincho"/>
              </w:rPr>
            </w:pPr>
            <w:r w:rsidRPr="004304A2">
              <w:rPr>
                <w:rFonts w:eastAsia="MS Mincho"/>
              </w:rPr>
              <w:t>*</w:t>
            </w:r>
          </w:p>
        </w:tc>
        <w:tc>
          <w:tcPr>
            <w:tcW w:w="1062" w:type="dxa"/>
          </w:tcPr>
          <w:p w14:paraId="570C5CCF" w14:textId="77777777" w:rsidR="004304A2" w:rsidRPr="004304A2" w:rsidRDefault="004304A2" w:rsidP="004304A2">
            <w:pPr>
              <w:tabs>
                <w:tab w:val="left" w:pos="1140"/>
              </w:tabs>
              <w:spacing w:after="200" w:line="276" w:lineRule="auto"/>
              <w:rPr>
                <w:rFonts w:eastAsia="MS Mincho"/>
              </w:rPr>
            </w:pPr>
            <w:r w:rsidRPr="004304A2">
              <w:rPr>
                <w:rFonts w:eastAsia="MS Mincho"/>
              </w:rPr>
              <w:t>62</w:t>
            </w:r>
          </w:p>
        </w:tc>
      </w:tr>
      <w:tr w:rsidR="004304A2" w:rsidRPr="004304A2" w14:paraId="0F92738D" w14:textId="77777777" w:rsidTr="00C93D65">
        <w:tc>
          <w:tcPr>
            <w:tcW w:w="2520" w:type="dxa"/>
            <w:vMerge/>
          </w:tcPr>
          <w:p w14:paraId="19231708" w14:textId="77777777" w:rsidR="004304A2" w:rsidRPr="004304A2" w:rsidRDefault="004304A2" w:rsidP="004304A2">
            <w:pPr>
              <w:tabs>
                <w:tab w:val="left" w:pos="1140"/>
              </w:tabs>
              <w:spacing w:after="200" w:line="276" w:lineRule="auto"/>
              <w:rPr>
                <w:rFonts w:eastAsia="MS Mincho"/>
              </w:rPr>
            </w:pPr>
          </w:p>
        </w:tc>
        <w:tc>
          <w:tcPr>
            <w:tcW w:w="1710" w:type="dxa"/>
          </w:tcPr>
          <w:p w14:paraId="72375768" w14:textId="77777777" w:rsidR="004304A2" w:rsidRPr="004304A2" w:rsidRDefault="004304A2" w:rsidP="004304A2">
            <w:pPr>
              <w:tabs>
                <w:tab w:val="left" w:pos="1140"/>
              </w:tabs>
              <w:spacing w:after="200" w:line="276" w:lineRule="auto"/>
              <w:rPr>
                <w:rFonts w:eastAsia="MS Mincho"/>
              </w:rPr>
            </w:pPr>
            <w:r w:rsidRPr="004304A2">
              <w:rPr>
                <w:rFonts w:eastAsia="MS Mincho"/>
              </w:rPr>
              <w:t xml:space="preserve">Treatment </w:t>
            </w:r>
          </w:p>
        </w:tc>
        <w:tc>
          <w:tcPr>
            <w:tcW w:w="900" w:type="dxa"/>
          </w:tcPr>
          <w:p w14:paraId="50213840" w14:textId="77777777" w:rsidR="004304A2" w:rsidRPr="004304A2" w:rsidRDefault="004304A2" w:rsidP="004304A2">
            <w:pPr>
              <w:tabs>
                <w:tab w:val="left" w:pos="1140"/>
              </w:tabs>
              <w:spacing w:after="200" w:line="276" w:lineRule="auto"/>
              <w:rPr>
                <w:rFonts w:eastAsia="MS Mincho"/>
              </w:rPr>
            </w:pPr>
            <w:r w:rsidRPr="004304A2">
              <w:rPr>
                <w:rFonts w:eastAsia="MS Mincho"/>
              </w:rPr>
              <w:t>2017</w:t>
            </w:r>
          </w:p>
        </w:tc>
        <w:tc>
          <w:tcPr>
            <w:tcW w:w="1260" w:type="dxa"/>
          </w:tcPr>
          <w:p w14:paraId="2577D8AD" w14:textId="77777777" w:rsidR="004304A2" w:rsidRPr="004304A2" w:rsidRDefault="004304A2" w:rsidP="004304A2">
            <w:pPr>
              <w:tabs>
                <w:tab w:val="left" w:pos="1140"/>
              </w:tabs>
              <w:spacing w:after="200" w:line="276" w:lineRule="auto"/>
              <w:rPr>
                <w:rFonts w:eastAsia="MS Mincho"/>
              </w:rPr>
            </w:pPr>
            <w:r w:rsidRPr="004304A2">
              <w:rPr>
                <w:rFonts w:eastAsia="MS Mincho"/>
              </w:rPr>
              <w:t>193.67</w:t>
            </w:r>
          </w:p>
        </w:tc>
        <w:tc>
          <w:tcPr>
            <w:tcW w:w="1530" w:type="dxa"/>
          </w:tcPr>
          <w:p w14:paraId="01C02E22" w14:textId="77777777" w:rsidR="004304A2" w:rsidRPr="004304A2" w:rsidRDefault="004304A2" w:rsidP="004304A2">
            <w:pPr>
              <w:tabs>
                <w:tab w:val="left" w:pos="1140"/>
              </w:tabs>
              <w:spacing w:after="200" w:line="276" w:lineRule="auto"/>
              <w:rPr>
                <w:rFonts w:eastAsia="MS Mincho"/>
              </w:rPr>
            </w:pPr>
            <w:r w:rsidRPr="004304A2">
              <w:rPr>
                <w:rFonts w:eastAsia="MS Mincho"/>
              </w:rPr>
              <w:t>202.11</w:t>
            </w:r>
          </w:p>
        </w:tc>
        <w:tc>
          <w:tcPr>
            <w:tcW w:w="1530" w:type="dxa"/>
          </w:tcPr>
          <w:p w14:paraId="44B67431" w14:textId="77777777" w:rsidR="004304A2" w:rsidRPr="004304A2" w:rsidRDefault="004304A2" w:rsidP="004304A2">
            <w:pPr>
              <w:tabs>
                <w:tab w:val="left" w:pos="1140"/>
              </w:tabs>
              <w:spacing w:after="200" w:line="276" w:lineRule="auto"/>
              <w:rPr>
                <w:rFonts w:eastAsia="MS Mincho"/>
              </w:rPr>
            </w:pPr>
            <w:r w:rsidRPr="004304A2">
              <w:rPr>
                <w:rFonts w:eastAsia="MS Mincho"/>
              </w:rPr>
              <w:t>*</w:t>
            </w:r>
          </w:p>
        </w:tc>
        <w:tc>
          <w:tcPr>
            <w:tcW w:w="1350" w:type="dxa"/>
          </w:tcPr>
          <w:p w14:paraId="26944B3B" w14:textId="77777777" w:rsidR="004304A2" w:rsidRPr="004304A2" w:rsidRDefault="004304A2" w:rsidP="004304A2">
            <w:pPr>
              <w:tabs>
                <w:tab w:val="left" w:pos="1140"/>
              </w:tabs>
              <w:spacing w:after="200" w:line="276" w:lineRule="auto"/>
              <w:rPr>
                <w:rFonts w:eastAsia="MS Mincho"/>
              </w:rPr>
            </w:pPr>
            <w:r w:rsidRPr="004304A2">
              <w:rPr>
                <w:rFonts w:eastAsia="MS Mincho"/>
              </w:rPr>
              <w:t>18.45</w:t>
            </w:r>
          </w:p>
        </w:tc>
        <w:tc>
          <w:tcPr>
            <w:tcW w:w="1440" w:type="dxa"/>
          </w:tcPr>
          <w:p w14:paraId="2216CF3B" w14:textId="77777777" w:rsidR="004304A2" w:rsidRPr="004304A2" w:rsidRDefault="004304A2" w:rsidP="004304A2">
            <w:pPr>
              <w:tabs>
                <w:tab w:val="left" w:pos="1140"/>
              </w:tabs>
              <w:spacing w:after="200" w:line="276" w:lineRule="auto"/>
              <w:rPr>
                <w:rFonts w:eastAsia="MS Mincho"/>
              </w:rPr>
            </w:pPr>
            <w:r w:rsidRPr="004304A2">
              <w:rPr>
                <w:rFonts w:eastAsia="MS Mincho"/>
              </w:rPr>
              <w:t>14.75</w:t>
            </w:r>
          </w:p>
        </w:tc>
        <w:tc>
          <w:tcPr>
            <w:tcW w:w="1440" w:type="dxa"/>
          </w:tcPr>
          <w:p w14:paraId="6018D822" w14:textId="77777777" w:rsidR="004304A2" w:rsidRPr="004304A2" w:rsidRDefault="004304A2" w:rsidP="004304A2">
            <w:pPr>
              <w:tabs>
                <w:tab w:val="left" w:pos="1140"/>
              </w:tabs>
              <w:spacing w:after="200" w:line="276" w:lineRule="auto"/>
              <w:rPr>
                <w:rFonts w:eastAsia="MS Mincho"/>
              </w:rPr>
            </w:pPr>
            <w:r w:rsidRPr="004304A2">
              <w:rPr>
                <w:rFonts w:eastAsia="MS Mincho"/>
              </w:rPr>
              <w:t>*</w:t>
            </w:r>
          </w:p>
        </w:tc>
        <w:tc>
          <w:tcPr>
            <w:tcW w:w="1062" w:type="dxa"/>
          </w:tcPr>
          <w:p w14:paraId="3428780E" w14:textId="77777777" w:rsidR="004304A2" w:rsidRPr="004304A2" w:rsidRDefault="004304A2" w:rsidP="004304A2">
            <w:pPr>
              <w:tabs>
                <w:tab w:val="left" w:pos="1140"/>
              </w:tabs>
              <w:spacing w:after="200" w:line="276" w:lineRule="auto"/>
              <w:rPr>
                <w:rFonts w:eastAsia="MS Mincho"/>
              </w:rPr>
            </w:pPr>
            <w:r w:rsidRPr="004304A2">
              <w:rPr>
                <w:rFonts w:eastAsia="MS Mincho"/>
              </w:rPr>
              <w:t>18</w:t>
            </w:r>
          </w:p>
        </w:tc>
      </w:tr>
    </w:tbl>
    <w:p w14:paraId="0067A020" w14:textId="77777777" w:rsidR="004304A2" w:rsidRPr="004304A2" w:rsidRDefault="004304A2" w:rsidP="004304A2">
      <w:pPr>
        <w:tabs>
          <w:tab w:val="left" w:pos="1140"/>
        </w:tabs>
        <w:spacing w:after="200" w:line="276" w:lineRule="auto"/>
        <w:rPr>
          <w:rFonts w:eastAsia="Calibri"/>
          <w:i/>
        </w:rPr>
      </w:pPr>
      <w:r w:rsidRPr="004304A2">
        <w:rPr>
          <w:rFonts w:eastAsia="Calibri"/>
          <w:i/>
        </w:rPr>
        <w:t xml:space="preserve">(*) = No Data </w:t>
      </w:r>
    </w:p>
    <w:p w14:paraId="22768C12" w14:textId="77777777" w:rsidR="004304A2" w:rsidRPr="004304A2" w:rsidRDefault="004304A2" w:rsidP="004304A2">
      <w:pPr>
        <w:tabs>
          <w:tab w:val="left" w:pos="1140"/>
        </w:tabs>
        <w:spacing w:after="200" w:line="276" w:lineRule="auto"/>
        <w:rPr>
          <w:rFonts w:eastAsia="Calibri"/>
          <w:i/>
        </w:rPr>
      </w:pPr>
    </w:p>
    <w:p w14:paraId="38E85AF8" w14:textId="77777777" w:rsidR="004304A2" w:rsidRPr="004304A2" w:rsidRDefault="004304A2" w:rsidP="004304A2">
      <w:pPr>
        <w:spacing w:after="160" w:line="259" w:lineRule="auto"/>
        <w:rPr>
          <w:rFonts w:eastAsia="Calibri"/>
          <w:i/>
        </w:rPr>
        <w:sectPr w:rsidR="004304A2" w:rsidRPr="004304A2" w:rsidSect="00C93D65">
          <w:pgSz w:w="15840" w:h="12240" w:orient="landscape"/>
          <w:pgMar w:top="1440" w:right="1440" w:bottom="1440" w:left="1440" w:header="720" w:footer="720" w:gutter="0"/>
          <w:cols w:space="720"/>
          <w:titlePg/>
          <w:docGrid w:linePitch="360"/>
        </w:sectPr>
      </w:pPr>
    </w:p>
    <w:p w14:paraId="44F6A872" w14:textId="77777777" w:rsidR="004304A2" w:rsidRPr="004304A2" w:rsidRDefault="004304A2" w:rsidP="004304A2">
      <w:pPr>
        <w:tabs>
          <w:tab w:val="left" w:pos="1140"/>
        </w:tabs>
        <w:spacing w:after="200" w:line="276" w:lineRule="auto"/>
        <w:rPr>
          <w:rFonts w:eastAsia="Calibri"/>
          <w:b/>
        </w:rPr>
      </w:pPr>
      <w:r w:rsidRPr="004304A2">
        <w:rPr>
          <w:rFonts w:eastAsia="Calibri"/>
          <w:b/>
        </w:rPr>
        <w:t xml:space="preserve">Table 7 </w:t>
      </w:r>
    </w:p>
    <w:p w14:paraId="45A8FAC6" w14:textId="77777777" w:rsidR="004304A2" w:rsidRPr="004304A2" w:rsidRDefault="004304A2" w:rsidP="004304A2">
      <w:pPr>
        <w:tabs>
          <w:tab w:val="left" w:pos="1140"/>
        </w:tabs>
        <w:spacing w:after="200" w:line="276" w:lineRule="auto"/>
        <w:rPr>
          <w:rFonts w:eastAsia="Calibri"/>
          <w:i/>
        </w:rPr>
      </w:pPr>
      <w:r w:rsidRPr="004304A2">
        <w:rPr>
          <w:rFonts w:eastAsia="Calibri"/>
          <w:i/>
        </w:rPr>
        <w:t xml:space="preserve">Summary of Within-Subjects Performance for All Grade Levels </w:t>
      </w:r>
    </w:p>
    <w:tbl>
      <w:tblPr>
        <w:tblStyle w:val="TableGrid7"/>
        <w:tblW w:w="10980" w:type="dxa"/>
        <w:tblInd w:w="-70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1170"/>
        <w:gridCol w:w="1619"/>
        <w:gridCol w:w="1014"/>
        <w:gridCol w:w="1021"/>
        <w:gridCol w:w="836"/>
        <w:gridCol w:w="1157"/>
        <w:gridCol w:w="1193"/>
        <w:gridCol w:w="1260"/>
      </w:tblGrid>
      <w:tr w:rsidR="004304A2" w:rsidRPr="004304A2" w14:paraId="49A8BEC9" w14:textId="77777777" w:rsidTr="00C93D65">
        <w:trPr>
          <w:trHeight w:val="935"/>
        </w:trPr>
        <w:tc>
          <w:tcPr>
            <w:tcW w:w="1710" w:type="dxa"/>
            <w:tcBorders>
              <w:bottom w:val="single" w:sz="4" w:space="0" w:color="auto"/>
            </w:tcBorders>
          </w:tcPr>
          <w:p w14:paraId="7EA96434" w14:textId="77777777" w:rsidR="004304A2" w:rsidRPr="004304A2" w:rsidRDefault="004304A2" w:rsidP="004304A2">
            <w:pPr>
              <w:tabs>
                <w:tab w:val="left" w:pos="1140"/>
              </w:tabs>
              <w:spacing w:after="200" w:line="276" w:lineRule="auto"/>
              <w:rPr>
                <w:rFonts w:eastAsia="MS Mincho"/>
              </w:rPr>
            </w:pPr>
            <w:r w:rsidRPr="004304A2">
              <w:rPr>
                <w:rFonts w:eastAsia="MS Mincho"/>
              </w:rPr>
              <w:t>Grade Level</w:t>
            </w:r>
          </w:p>
        </w:tc>
        <w:tc>
          <w:tcPr>
            <w:tcW w:w="1170" w:type="dxa"/>
            <w:tcBorders>
              <w:bottom w:val="single" w:sz="4" w:space="0" w:color="auto"/>
            </w:tcBorders>
          </w:tcPr>
          <w:p w14:paraId="43761CC5" w14:textId="77777777" w:rsidR="004304A2" w:rsidRPr="004304A2" w:rsidRDefault="004304A2" w:rsidP="004304A2">
            <w:pPr>
              <w:tabs>
                <w:tab w:val="left" w:pos="1140"/>
              </w:tabs>
              <w:spacing w:after="200" w:line="276" w:lineRule="auto"/>
              <w:rPr>
                <w:rFonts w:eastAsia="MS Mincho"/>
              </w:rPr>
            </w:pPr>
            <w:r w:rsidRPr="004304A2">
              <w:rPr>
                <w:rFonts w:eastAsia="MS Mincho"/>
              </w:rPr>
              <w:t>Effect Pre-Post Test</w:t>
            </w:r>
          </w:p>
        </w:tc>
        <w:tc>
          <w:tcPr>
            <w:tcW w:w="1619" w:type="dxa"/>
            <w:tcBorders>
              <w:bottom w:val="single" w:sz="4" w:space="0" w:color="auto"/>
            </w:tcBorders>
          </w:tcPr>
          <w:p w14:paraId="253A9167" w14:textId="77777777" w:rsidR="004304A2" w:rsidRPr="004304A2" w:rsidRDefault="004304A2" w:rsidP="004304A2">
            <w:pPr>
              <w:tabs>
                <w:tab w:val="left" w:pos="1140"/>
              </w:tabs>
              <w:spacing w:after="200" w:line="276" w:lineRule="auto"/>
              <w:rPr>
                <w:rFonts w:eastAsia="MS Mincho"/>
              </w:rPr>
            </w:pPr>
            <w:r w:rsidRPr="004304A2">
              <w:rPr>
                <w:rFonts w:eastAsia="MS Mincho"/>
              </w:rPr>
              <w:t xml:space="preserve">Year </w:t>
            </w:r>
          </w:p>
        </w:tc>
        <w:tc>
          <w:tcPr>
            <w:tcW w:w="1014" w:type="dxa"/>
            <w:tcBorders>
              <w:bottom w:val="single" w:sz="4" w:space="0" w:color="auto"/>
            </w:tcBorders>
          </w:tcPr>
          <w:p w14:paraId="52E8DC1B" w14:textId="77777777" w:rsidR="004304A2" w:rsidRPr="004304A2" w:rsidRDefault="004304A2" w:rsidP="004304A2">
            <w:pPr>
              <w:tabs>
                <w:tab w:val="left" w:pos="1140"/>
              </w:tabs>
              <w:spacing w:after="200" w:line="276" w:lineRule="auto"/>
              <w:rPr>
                <w:rFonts w:eastAsia="MS Mincho"/>
              </w:rPr>
            </w:pPr>
            <w:r w:rsidRPr="004304A2">
              <w:rPr>
                <w:rFonts w:eastAsia="MS Mincho"/>
              </w:rPr>
              <w:t>Wilks’ Lambda</w:t>
            </w:r>
          </w:p>
        </w:tc>
        <w:tc>
          <w:tcPr>
            <w:tcW w:w="1021" w:type="dxa"/>
            <w:tcBorders>
              <w:bottom w:val="single" w:sz="4" w:space="0" w:color="auto"/>
            </w:tcBorders>
          </w:tcPr>
          <w:p w14:paraId="4A50E0C8" w14:textId="77777777" w:rsidR="004304A2" w:rsidRPr="004304A2" w:rsidRDefault="004304A2" w:rsidP="004304A2">
            <w:pPr>
              <w:tabs>
                <w:tab w:val="left" w:pos="1140"/>
              </w:tabs>
              <w:spacing w:after="200" w:line="276" w:lineRule="auto"/>
              <w:rPr>
                <w:rFonts w:eastAsia="MS Mincho"/>
              </w:rPr>
            </w:pPr>
            <w:r w:rsidRPr="004304A2">
              <w:rPr>
                <w:rFonts w:eastAsia="MS Mincho"/>
              </w:rPr>
              <w:t>F</w:t>
            </w:r>
          </w:p>
        </w:tc>
        <w:tc>
          <w:tcPr>
            <w:tcW w:w="836" w:type="dxa"/>
            <w:tcBorders>
              <w:bottom w:val="single" w:sz="4" w:space="0" w:color="auto"/>
            </w:tcBorders>
          </w:tcPr>
          <w:p w14:paraId="1BCC44DB" w14:textId="77777777" w:rsidR="004304A2" w:rsidRPr="004304A2" w:rsidRDefault="004304A2" w:rsidP="004304A2">
            <w:pPr>
              <w:tabs>
                <w:tab w:val="left" w:pos="1140"/>
              </w:tabs>
              <w:spacing w:after="200" w:line="276" w:lineRule="auto"/>
              <w:rPr>
                <w:rFonts w:eastAsia="MS Mincho"/>
              </w:rPr>
            </w:pPr>
            <w:r w:rsidRPr="004304A2">
              <w:rPr>
                <w:rFonts w:eastAsia="MS Mincho"/>
              </w:rPr>
              <w:t>df</w:t>
            </w:r>
          </w:p>
        </w:tc>
        <w:tc>
          <w:tcPr>
            <w:tcW w:w="1157" w:type="dxa"/>
            <w:tcBorders>
              <w:bottom w:val="single" w:sz="4" w:space="0" w:color="auto"/>
            </w:tcBorders>
          </w:tcPr>
          <w:p w14:paraId="067A4421" w14:textId="77777777" w:rsidR="004304A2" w:rsidRPr="004304A2" w:rsidRDefault="004304A2" w:rsidP="004304A2">
            <w:pPr>
              <w:tabs>
                <w:tab w:val="left" w:pos="1140"/>
              </w:tabs>
              <w:spacing w:after="200" w:line="276" w:lineRule="auto"/>
              <w:rPr>
                <w:rFonts w:eastAsia="MS Mincho"/>
              </w:rPr>
            </w:pPr>
            <w:r w:rsidRPr="004304A2">
              <w:rPr>
                <w:rFonts w:eastAsia="MS Mincho"/>
              </w:rPr>
              <w:t>Error df</w:t>
            </w:r>
          </w:p>
        </w:tc>
        <w:tc>
          <w:tcPr>
            <w:tcW w:w="1193" w:type="dxa"/>
            <w:tcBorders>
              <w:bottom w:val="single" w:sz="4" w:space="0" w:color="auto"/>
            </w:tcBorders>
          </w:tcPr>
          <w:p w14:paraId="1B944CCE" w14:textId="77777777" w:rsidR="004304A2" w:rsidRPr="004304A2" w:rsidRDefault="004304A2" w:rsidP="004304A2">
            <w:pPr>
              <w:tabs>
                <w:tab w:val="left" w:pos="1140"/>
              </w:tabs>
              <w:spacing w:after="200" w:line="276" w:lineRule="auto"/>
              <w:rPr>
                <w:rFonts w:eastAsia="MS Mincho"/>
              </w:rPr>
            </w:pPr>
            <w:r w:rsidRPr="004304A2">
              <w:rPr>
                <w:rFonts w:eastAsia="MS Mincho"/>
              </w:rPr>
              <w:t>P</w:t>
            </w:r>
          </w:p>
        </w:tc>
        <w:tc>
          <w:tcPr>
            <w:tcW w:w="1260" w:type="dxa"/>
            <w:tcBorders>
              <w:bottom w:val="single" w:sz="4" w:space="0" w:color="auto"/>
            </w:tcBorders>
          </w:tcPr>
          <w:p w14:paraId="235331C3" w14:textId="77777777" w:rsidR="004304A2" w:rsidRPr="004304A2" w:rsidRDefault="004304A2" w:rsidP="004304A2">
            <w:pPr>
              <w:tabs>
                <w:tab w:val="left" w:pos="1140"/>
              </w:tabs>
              <w:spacing w:after="200" w:line="276" w:lineRule="auto"/>
              <w:rPr>
                <w:rFonts w:eastAsia="MS Mincho"/>
              </w:rPr>
            </w:pPr>
            <w:r w:rsidRPr="004304A2">
              <w:rPr>
                <w:rFonts w:eastAsia="MS Mincho"/>
              </w:rPr>
              <w:t xml:space="preserve">Partial Eta Squared </w:t>
            </w:r>
          </w:p>
        </w:tc>
      </w:tr>
      <w:tr w:rsidR="004304A2" w:rsidRPr="004304A2" w14:paraId="5E1F48BF" w14:textId="77777777" w:rsidTr="00C93D65">
        <w:tc>
          <w:tcPr>
            <w:tcW w:w="1710" w:type="dxa"/>
            <w:vMerge w:val="restart"/>
            <w:tcBorders>
              <w:top w:val="single" w:sz="4" w:space="0" w:color="auto"/>
            </w:tcBorders>
          </w:tcPr>
          <w:p w14:paraId="69AC00A8" w14:textId="77777777" w:rsidR="004304A2" w:rsidRPr="004304A2" w:rsidRDefault="004304A2" w:rsidP="004304A2">
            <w:pPr>
              <w:tabs>
                <w:tab w:val="left" w:pos="1140"/>
              </w:tabs>
              <w:spacing w:after="200" w:line="276" w:lineRule="auto"/>
              <w:rPr>
                <w:rFonts w:eastAsia="MS Mincho"/>
              </w:rPr>
            </w:pPr>
            <w:r w:rsidRPr="004304A2">
              <w:rPr>
                <w:rFonts w:eastAsia="MS Mincho"/>
              </w:rPr>
              <w:t xml:space="preserve">Kindergarten </w:t>
            </w:r>
          </w:p>
        </w:tc>
        <w:tc>
          <w:tcPr>
            <w:tcW w:w="1170" w:type="dxa"/>
            <w:tcBorders>
              <w:top w:val="single" w:sz="4" w:space="0" w:color="auto"/>
              <w:bottom w:val="nil"/>
            </w:tcBorders>
          </w:tcPr>
          <w:p w14:paraId="06A20C7E" w14:textId="77777777" w:rsidR="004304A2" w:rsidRPr="004304A2" w:rsidRDefault="004304A2" w:rsidP="004304A2">
            <w:pPr>
              <w:tabs>
                <w:tab w:val="left" w:pos="1140"/>
              </w:tabs>
              <w:spacing w:after="200" w:line="276" w:lineRule="auto"/>
              <w:rPr>
                <w:rFonts w:eastAsia="MS Mincho"/>
              </w:rPr>
            </w:pPr>
            <w:r w:rsidRPr="004304A2">
              <w:rPr>
                <w:rFonts w:eastAsia="MS Mincho"/>
              </w:rPr>
              <w:t xml:space="preserve">Math </w:t>
            </w:r>
          </w:p>
        </w:tc>
        <w:tc>
          <w:tcPr>
            <w:tcW w:w="1619" w:type="dxa"/>
            <w:tcBorders>
              <w:top w:val="single" w:sz="4" w:space="0" w:color="auto"/>
              <w:bottom w:val="nil"/>
            </w:tcBorders>
          </w:tcPr>
          <w:p w14:paraId="11C600FD" w14:textId="77777777" w:rsidR="004304A2" w:rsidRPr="004304A2" w:rsidRDefault="004304A2" w:rsidP="004304A2">
            <w:pPr>
              <w:tabs>
                <w:tab w:val="left" w:pos="1140"/>
              </w:tabs>
              <w:spacing w:after="200" w:line="276" w:lineRule="auto"/>
              <w:rPr>
                <w:rFonts w:eastAsia="MS Mincho"/>
              </w:rPr>
            </w:pPr>
            <w:r w:rsidRPr="004304A2">
              <w:rPr>
                <w:rFonts w:eastAsia="MS Mincho"/>
              </w:rPr>
              <w:t>2015 vs. 2017</w:t>
            </w:r>
          </w:p>
        </w:tc>
        <w:tc>
          <w:tcPr>
            <w:tcW w:w="1014" w:type="dxa"/>
            <w:tcBorders>
              <w:top w:val="single" w:sz="4" w:space="0" w:color="auto"/>
              <w:bottom w:val="nil"/>
            </w:tcBorders>
          </w:tcPr>
          <w:p w14:paraId="74209AC3" w14:textId="77777777" w:rsidR="004304A2" w:rsidRPr="004304A2" w:rsidRDefault="004304A2" w:rsidP="004304A2">
            <w:pPr>
              <w:tabs>
                <w:tab w:val="left" w:pos="1140"/>
              </w:tabs>
              <w:spacing w:after="200" w:line="276" w:lineRule="auto"/>
              <w:rPr>
                <w:rFonts w:eastAsia="MS Mincho"/>
              </w:rPr>
            </w:pPr>
            <w:r w:rsidRPr="004304A2">
              <w:rPr>
                <w:rFonts w:eastAsia="MS Mincho"/>
              </w:rPr>
              <w:t>0.996</w:t>
            </w:r>
          </w:p>
        </w:tc>
        <w:tc>
          <w:tcPr>
            <w:tcW w:w="1021" w:type="dxa"/>
            <w:tcBorders>
              <w:top w:val="single" w:sz="4" w:space="0" w:color="auto"/>
              <w:bottom w:val="nil"/>
            </w:tcBorders>
          </w:tcPr>
          <w:p w14:paraId="21DE152A" w14:textId="77777777" w:rsidR="004304A2" w:rsidRPr="004304A2" w:rsidRDefault="004304A2" w:rsidP="004304A2">
            <w:pPr>
              <w:tabs>
                <w:tab w:val="left" w:pos="1140"/>
              </w:tabs>
              <w:spacing w:after="200" w:line="276" w:lineRule="auto"/>
              <w:rPr>
                <w:rFonts w:eastAsia="MS Mincho"/>
              </w:rPr>
            </w:pPr>
            <w:r w:rsidRPr="004304A2">
              <w:rPr>
                <w:rFonts w:eastAsia="MS Mincho"/>
              </w:rPr>
              <w:t>0.442</w:t>
            </w:r>
          </w:p>
        </w:tc>
        <w:tc>
          <w:tcPr>
            <w:tcW w:w="836" w:type="dxa"/>
            <w:tcBorders>
              <w:top w:val="single" w:sz="4" w:space="0" w:color="auto"/>
              <w:bottom w:val="nil"/>
            </w:tcBorders>
          </w:tcPr>
          <w:p w14:paraId="5FDEBC81" w14:textId="77777777" w:rsidR="004304A2" w:rsidRPr="004304A2" w:rsidRDefault="004304A2" w:rsidP="004304A2">
            <w:pPr>
              <w:tabs>
                <w:tab w:val="left" w:pos="1140"/>
              </w:tabs>
              <w:spacing w:after="200" w:line="276" w:lineRule="auto"/>
              <w:rPr>
                <w:rFonts w:eastAsia="MS Mincho"/>
              </w:rPr>
            </w:pPr>
            <w:r w:rsidRPr="004304A2">
              <w:rPr>
                <w:rFonts w:eastAsia="MS Mincho"/>
              </w:rPr>
              <w:t>1</w:t>
            </w:r>
          </w:p>
        </w:tc>
        <w:tc>
          <w:tcPr>
            <w:tcW w:w="1157" w:type="dxa"/>
            <w:tcBorders>
              <w:top w:val="single" w:sz="4" w:space="0" w:color="auto"/>
              <w:bottom w:val="nil"/>
            </w:tcBorders>
          </w:tcPr>
          <w:p w14:paraId="7EF28F4E" w14:textId="77777777" w:rsidR="004304A2" w:rsidRPr="004304A2" w:rsidRDefault="004304A2" w:rsidP="004304A2">
            <w:pPr>
              <w:tabs>
                <w:tab w:val="left" w:pos="1140"/>
              </w:tabs>
              <w:spacing w:after="200" w:line="276" w:lineRule="auto"/>
              <w:rPr>
                <w:rFonts w:eastAsia="MS Mincho"/>
              </w:rPr>
            </w:pPr>
            <w:r w:rsidRPr="004304A2">
              <w:rPr>
                <w:rFonts w:eastAsia="MS Mincho"/>
              </w:rPr>
              <w:t>117.000</w:t>
            </w:r>
          </w:p>
        </w:tc>
        <w:tc>
          <w:tcPr>
            <w:tcW w:w="1193" w:type="dxa"/>
            <w:tcBorders>
              <w:top w:val="single" w:sz="4" w:space="0" w:color="auto"/>
              <w:bottom w:val="nil"/>
            </w:tcBorders>
          </w:tcPr>
          <w:p w14:paraId="3A709980" w14:textId="77777777" w:rsidR="004304A2" w:rsidRPr="004304A2" w:rsidRDefault="004304A2" w:rsidP="004304A2">
            <w:pPr>
              <w:tabs>
                <w:tab w:val="left" w:pos="1140"/>
              </w:tabs>
              <w:spacing w:after="200" w:line="276" w:lineRule="auto"/>
              <w:rPr>
                <w:rFonts w:eastAsia="MS Mincho"/>
              </w:rPr>
            </w:pPr>
            <w:r w:rsidRPr="004304A2">
              <w:rPr>
                <w:rFonts w:eastAsia="MS Mincho"/>
              </w:rPr>
              <w:t>0.508</w:t>
            </w:r>
          </w:p>
        </w:tc>
        <w:tc>
          <w:tcPr>
            <w:tcW w:w="1260" w:type="dxa"/>
            <w:tcBorders>
              <w:top w:val="single" w:sz="4" w:space="0" w:color="auto"/>
              <w:bottom w:val="nil"/>
            </w:tcBorders>
          </w:tcPr>
          <w:p w14:paraId="0CBD8836" w14:textId="77777777" w:rsidR="004304A2" w:rsidRPr="004304A2" w:rsidRDefault="004304A2" w:rsidP="004304A2">
            <w:pPr>
              <w:tabs>
                <w:tab w:val="left" w:pos="1140"/>
              </w:tabs>
              <w:spacing w:after="200" w:line="276" w:lineRule="auto"/>
              <w:rPr>
                <w:rFonts w:eastAsia="MS Mincho"/>
              </w:rPr>
            </w:pPr>
            <w:r w:rsidRPr="004304A2">
              <w:rPr>
                <w:rFonts w:eastAsia="MS Mincho"/>
              </w:rPr>
              <w:t>0.004</w:t>
            </w:r>
          </w:p>
        </w:tc>
      </w:tr>
      <w:tr w:rsidR="004304A2" w:rsidRPr="004304A2" w14:paraId="5D282295" w14:textId="77777777" w:rsidTr="00C93D65">
        <w:tc>
          <w:tcPr>
            <w:tcW w:w="1710" w:type="dxa"/>
            <w:vMerge/>
          </w:tcPr>
          <w:p w14:paraId="7136AC03" w14:textId="77777777" w:rsidR="004304A2" w:rsidRPr="004304A2" w:rsidRDefault="004304A2" w:rsidP="004304A2">
            <w:pPr>
              <w:tabs>
                <w:tab w:val="left" w:pos="1140"/>
              </w:tabs>
              <w:spacing w:after="200" w:line="276" w:lineRule="auto"/>
              <w:rPr>
                <w:rFonts w:eastAsia="MS Mincho"/>
              </w:rPr>
            </w:pPr>
          </w:p>
        </w:tc>
        <w:tc>
          <w:tcPr>
            <w:tcW w:w="1170" w:type="dxa"/>
            <w:tcBorders>
              <w:top w:val="nil"/>
            </w:tcBorders>
          </w:tcPr>
          <w:p w14:paraId="5971ED1E" w14:textId="77777777" w:rsidR="004304A2" w:rsidRPr="004304A2" w:rsidRDefault="004304A2" w:rsidP="004304A2">
            <w:pPr>
              <w:tabs>
                <w:tab w:val="left" w:pos="1140"/>
              </w:tabs>
              <w:spacing w:after="200" w:line="276" w:lineRule="auto"/>
              <w:rPr>
                <w:rFonts w:eastAsia="MS Mincho"/>
              </w:rPr>
            </w:pPr>
            <w:r w:rsidRPr="004304A2">
              <w:rPr>
                <w:rFonts w:eastAsia="MS Mincho"/>
              </w:rPr>
              <w:t>Reading</w:t>
            </w:r>
          </w:p>
        </w:tc>
        <w:tc>
          <w:tcPr>
            <w:tcW w:w="1619" w:type="dxa"/>
            <w:tcBorders>
              <w:top w:val="nil"/>
            </w:tcBorders>
          </w:tcPr>
          <w:p w14:paraId="02A285D3" w14:textId="77777777" w:rsidR="004304A2" w:rsidRPr="004304A2" w:rsidRDefault="004304A2" w:rsidP="004304A2">
            <w:pPr>
              <w:tabs>
                <w:tab w:val="left" w:pos="1140"/>
              </w:tabs>
              <w:spacing w:after="200" w:line="276" w:lineRule="auto"/>
              <w:rPr>
                <w:rFonts w:eastAsia="MS Mincho"/>
              </w:rPr>
            </w:pPr>
            <w:r w:rsidRPr="004304A2">
              <w:rPr>
                <w:rFonts w:eastAsia="MS Mincho"/>
              </w:rPr>
              <w:t xml:space="preserve">2015 vs. 2017 </w:t>
            </w:r>
          </w:p>
        </w:tc>
        <w:tc>
          <w:tcPr>
            <w:tcW w:w="1014" w:type="dxa"/>
            <w:tcBorders>
              <w:top w:val="nil"/>
            </w:tcBorders>
          </w:tcPr>
          <w:p w14:paraId="2FF48EAD" w14:textId="77777777" w:rsidR="004304A2" w:rsidRPr="004304A2" w:rsidRDefault="004304A2" w:rsidP="004304A2">
            <w:pPr>
              <w:tabs>
                <w:tab w:val="left" w:pos="1140"/>
              </w:tabs>
              <w:spacing w:after="200" w:line="276" w:lineRule="auto"/>
              <w:rPr>
                <w:rFonts w:eastAsia="MS Mincho"/>
              </w:rPr>
            </w:pPr>
            <w:r w:rsidRPr="004304A2">
              <w:rPr>
                <w:rFonts w:eastAsia="MS Mincho"/>
              </w:rPr>
              <w:t>0.996</w:t>
            </w:r>
          </w:p>
        </w:tc>
        <w:tc>
          <w:tcPr>
            <w:tcW w:w="1021" w:type="dxa"/>
            <w:tcBorders>
              <w:top w:val="nil"/>
            </w:tcBorders>
          </w:tcPr>
          <w:p w14:paraId="54123DF8" w14:textId="77777777" w:rsidR="004304A2" w:rsidRPr="004304A2" w:rsidRDefault="004304A2" w:rsidP="004304A2">
            <w:pPr>
              <w:tabs>
                <w:tab w:val="left" w:pos="1140"/>
              </w:tabs>
              <w:spacing w:after="200" w:line="276" w:lineRule="auto"/>
              <w:rPr>
                <w:rFonts w:eastAsia="MS Mincho"/>
              </w:rPr>
            </w:pPr>
            <w:r w:rsidRPr="004304A2">
              <w:rPr>
                <w:rFonts w:eastAsia="MS Mincho"/>
              </w:rPr>
              <w:t>0.169</w:t>
            </w:r>
          </w:p>
        </w:tc>
        <w:tc>
          <w:tcPr>
            <w:tcW w:w="836" w:type="dxa"/>
            <w:tcBorders>
              <w:top w:val="nil"/>
            </w:tcBorders>
          </w:tcPr>
          <w:p w14:paraId="5AE029A2" w14:textId="77777777" w:rsidR="004304A2" w:rsidRPr="004304A2" w:rsidRDefault="004304A2" w:rsidP="004304A2">
            <w:pPr>
              <w:tabs>
                <w:tab w:val="left" w:pos="1140"/>
              </w:tabs>
              <w:spacing w:after="200" w:line="276" w:lineRule="auto"/>
              <w:rPr>
                <w:rFonts w:eastAsia="MS Mincho"/>
              </w:rPr>
            </w:pPr>
            <w:r w:rsidRPr="004304A2">
              <w:rPr>
                <w:rFonts w:eastAsia="MS Mincho"/>
              </w:rPr>
              <w:t>1</w:t>
            </w:r>
          </w:p>
        </w:tc>
        <w:tc>
          <w:tcPr>
            <w:tcW w:w="1157" w:type="dxa"/>
            <w:tcBorders>
              <w:top w:val="nil"/>
            </w:tcBorders>
          </w:tcPr>
          <w:p w14:paraId="64AA242F" w14:textId="77777777" w:rsidR="004304A2" w:rsidRPr="004304A2" w:rsidRDefault="004304A2" w:rsidP="004304A2">
            <w:pPr>
              <w:tabs>
                <w:tab w:val="left" w:pos="1140"/>
              </w:tabs>
              <w:spacing w:after="200" w:line="276" w:lineRule="auto"/>
              <w:rPr>
                <w:rFonts w:eastAsia="MS Mincho"/>
              </w:rPr>
            </w:pPr>
            <w:r w:rsidRPr="004304A2">
              <w:rPr>
                <w:rFonts w:eastAsia="MS Mincho"/>
              </w:rPr>
              <w:t>117.000</w:t>
            </w:r>
          </w:p>
        </w:tc>
        <w:tc>
          <w:tcPr>
            <w:tcW w:w="1193" w:type="dxa"/>
            <w:tcBorders>
              <w:top w:val="nil"/>
            </w:tcBorders>
          </w:tcPr>
          <w:p w14:paraId="6E3B1456" w14:textId="77777777" w:rsidR="004304A2" w:rsidRPr="004304A2" w:rsidRDefault="004304A2" w:rsidP="004304A2">
            <w:pPr>
              <w:tabs>
                <w:tab w:val="left" w:pos="1140"/>
              </w:tabs>
              <w:spacing w:after="200" w:line="276" w:lineRule="auto"/>
              <w:rPr>
                <w:rFonts w:eastAsia="MS Mincho"/>
              </w:rPr>
            </w:pPr>
            <w:r w:rsidRPr="004304A2">
              <w:rPr>
                <w:rFonts w:eastAsia="MS Mincho"/>
              </w:rPr>
              <w:t>0.682</w:t>
            </w:r>
          </w:p>
        </w:tc>
        <w:tc>
          <w:tcPr>
            <w:tcW w:w="1260" w:type="dxa"/>
            <w:tcBorders>
              <w:top w:val="nil"/>
            </w:tcBorders>
          </w:tcPr>
          <w:p w14:paraId="6B880B58" w14:textId="77777777" w:rsidR="004304A2" w:rsidRPr="004304A2" w:rsidRDefault="004304A2" w:rsidP="004304A2">
            <w:pPr>
              <w:tabs>
                <w:tab w:val="left" w:pos="1140"/>
              </w:tabs>
              <w:spacing w:after="200" w:line="276" w:lineRule="auto"/>
              <w:rPr>
                <w:rFonts w:eastAsia="MS Mincho"/>
              </w:rPr>
            </w:pPr>
            <w:r w:rsidRPr="004304A2">
              <w:rPr>
                <w:rFonts w:eastAsia="MS Mincho"/>
              </w:rPr>
              <w:t>0.001</w:t>
            </w:r>
          </w:p>
        </w:tc>
      </w:tr>
      <w:tr w:rsidR="004304A2" w:rsidRPr="004304A2" w14:paraId="05753539" w14:textId="77777777" w:rsidTr="00C93D65">
        <w:tc>
          <w:tcPr>
            <w:tcW w:w="1710" w:type="dxa"/>
            <w:vMerge w:val="restart"/>
          </w:tcPr>
          <w:p w14:paraId="67C39275" w14:textId="77777777" w:rsidR="004304A2" w:rsidRPr="004304A2" w:rsidRDefault="004304A2" w:rsidP="004304A2">
            <w:pPr>
              <w:tabs>
                <w:tab w:val="left" w:pos="1140"/>
              </w:tabs>
              <w:spacing w:after="200" w:line="276" w:lineRule="auto"/>
              <w:rPr>
                <w:rFonts w:eastAsia="MS Mincho"/>
              </w:rPr>
            </w:pPr>
            <w:r w:rsidRPr="004304A2">
              <w:rPr>
                <w:rFonts w:eastAsia="MS Mincho"/>
              </w:rPr>
              <w:t>First</w:t>
            </w:r>
          </w:p>
        </w:tc>
        <w:tc>
          <w:tcPr>
            <w:tcW w:w="1170" w:type="dxa"/>
          </w:tcPr>
          <w:p w14:paraId="54D674A9" w14:textId="77777777" w:rsidR="004304A2" w:rsidRPr="004304A2" w:rsidRDefault="004304A2" w:rsidP="004304A2">
            <w:pPr>
              <w:tabs>
                <w:tab w:val="left" w:pos="1140"/>
              </w:tabs>
              <w:spacing w:after="200" w:line="276" w:lineRule="auto"/>
              <w:rPr>
                <w:rFonts w:eastAsia="MS Mincho"/>
              </w:rPr>
            </w:pPr>
            <w:r w:rsidRPr="004304A2">
              <w:rPr>
                <w:rFonts w:eastAsia="MS Mincho"/>
              </w:rPr>
              <w:t xml:space="preserve">Math </w:t>
            </w:r>
          </w:p>
        </w:tc>
        <w:tc>
          <w:tcPr>
            <w:tcW w:w="1619" w:type="dxa"/>
          </w:tcPr>
          <w:p w14:paraId="42464F49" w14:textId="77777777" w:rsidR="004304A2" w:rsidRPr="004304A2" w:rsidRDefault="004304A2" w:rsidP="004304A2">
            <w:pPr>
              <w:tabs>
                <w:tab w:val="left" w:pos="1140"/>
              </w:tabs>
              <w:spacing w:after="200" w:line="276" w:lineRule="auto"/>
              <w:rPr>
                <w:rFonts w:eastAsia="MS Mincho"/>
              </w:rPr>
            </w:pPr>
            <w:r w:rsidRPr="004304A2">
              <w:rPr>
                <w:rFonts w:eastAsia="MS Mincho"/>
              </w:rPr>
              <w:t xml:space="preserve">2015 vs. 2016 </w:t>
            </w:r>
          </w:p>
        </w:tc>
        <w:tc>
          <w:tcPr>
            <w:tcW w:w="1014" w:type="dxa"/>
          </w:tcPr>
          <w:p w14:paraId="1E5C7FD5" w14:textId="77777777" w:rsidR="004304A2" w:rsidRPr="004304A2" w:rsidRDefault="004304A2" w:rsidP="004304A2">
            <w:pPr>
              <w:tabs>
                <w:tab w:val="left" w:pos="1140"/>
              </w:tabs>
              <w:spacing w:after="200" w:line="276" w:lineRule="auto"/>
              <w:rPr>
                <w:rFonts w:eastAsia="MS Mincho"/>
              </w:rPr>
            </w:pPr>
            <w:r w:rsidRPr="004304A2">
              <w:rPr>
                <w:rFonts w:eastAsia="MS Mincho"/>
              </w:rPr>
              <w:t>0.984</w:t>
            </w:r>
          </w:p>
        </w:tc>
        <w:tc>
          <w:tcPr>
            <w:tcW w:w="1021" w:type="dxa"/>
          </w:tcPr>
          <w:p w14:paraId="5DA0DFD3" w14:textId="77777777" w:rsidR="004304A2" w:rsidRPr="004304A2" w:rsidRDefault="004304A2" w:rsidP="004304A2">
            <w:pPr>
              <w:tabs>
                <w:tab w:val="left" w:pos="1140"/>
              </w:tabs>
              <w:spacing w:after="200" w:line="276" w:lineRule="auto"/>
              <w:rPr>
                <w:rFonts w:eastAsia="MS Mincho"/>
              </w:rPr>
            </w:pPr>
            <w:r w:rsidRPr="004304A2">
              <w:rPr>
                <w:rFonts w:eastAsia="MS Mincho"/>
              </w:rPr>
              <w:t>0.582</w:t>
            </w:r>
          </w:p>
        </w:tc>
        <w:tc>
          <w:tcPr>
            <w:tcW w:w="836" w:type="dxa"/>
          </w:tcPr>
          <w:p w14:paraId="7FB78C7F" w14:textId="77777777" w:rsidR="004304A2" w:rsidRPr="004304A2" w:rsidRDefault="004304A2" w:rsidP="004304A2">
            <w:pPr>
              <w:tabs>
                <w:tab w:val="left" w:pos="1140"/>
              </w:tabs>
              <w:spacing w:after="200" w:line="276" w:lineRule="auto"/>
              <w:rPr>
                <w:rFonts w:eastAsia="MS Mincho"/>
              </w:rPr>
            </w:pPr>
            <w:r w:rsidRPr="004304A2">
              <w:rPr>
                <w:rFonts w:eastAsia="MS Mincho"/>
              </w:rPr>
              <w:t>2</w:t>
            </w:r>
          </w:p>
        </w:tc>
        <w:tc>
          <w:tcPr>
            <w:tcW w:w="1157" w:type="dxa"/>
          </w:tcPr>
          <w:p w14:paraId="3F95E517" w14:textId="77777777" w:rsidR="004304A2" w:rsidRPr="004304A2" w:rsidRDefault="004304A2" w:rsidP="004304A2">
            <w:pPr>
              <w:tabs>
                <w:tab w:val="left" w:pos="1140"/>
              </w:tabs>
              <w:spacing w:after="200" w:line="276" w:lineRule="auto"/>
              <w:rPr>
                <w:rFonts w:eastAsia="MS Mincho"/>
              </w:rPr>
            </w:pPr>
            <w:r w:rsidRPr="004304A2">
              <w:rPr>
                <w:rFonts w:eastAsia="MS Mincho"/>
              </w:rPr>
              <w:t>109.000</w:t>
            </w:r>
          </w:p>
        </w:tc>
        <w:tc>
          <w:tcPr>
            <w:tcW w:w="1193" w:type="dxa"/>
          </w:tcPr>
          <w:p w14:paraId="74826E0E" w14:textId="77777777" w:rsidR="004304A2" w:rsidRPr="004304A2" w:rsidRDefault="004304A2" w:rsidP="004304A2">
            <w:pPr>
              <w:tabs>
                <w:tab w:val="left" w:pos="1140"/>
              </w:tabs>
              <w:spacing w:after="200" w:line="276" w:lineRule="auto"/>
              <w:rPr>
                <w:rFonts w:eastAsia="MS Mincho"/>
              </w:rPr>
            </w:pPr>
            <w:r w:rsidRPr="004304A2">
              <w:rPr>
                <w:rFonts w:eastAsia="MS Mincho"/>
              </w:rPr>
              <w:t>0.560</w:t>
            </w:r>
          </w:p>
        </w:tc>
        <w:tc>
          <w:tcPr>
            <w:tcW w:w="1260" w:type="dxa"/>
          </w:tcPr>
          <w:p w14:paraId="4AC512F6" w14:textId="77777777" w:rsidR="004304A2" w:rsidRPr="004304A2" w:rsidRDefault="004304A2" w:rsidP="004304A2">
            <w:pPr>
              <w:tabs>
                <w:tab w:val="left" w:pos="1140"/>
              </w:tabs>
              <w:spacing w:after="200" w:line="276" w:lineRule="auto"/>
              <w:rPr>
                <w:rFonts w:eastAsia="MS Mincho"/>
              </w:rPr>
            </w:pPr>
            <w:r w:rsidRPr="004304A2">
              <w:rPr>
                <w:rFonts w:eastAsia="MS Mincho"/>
              </w:rPr>
              <w:t>0.005</w:t>
            </w:r>
          </w:p>
        </w:tc>
      </w:tr>
      <w:tr w:rsidR="004304A2" w:rsidRPr="004304A2" w14:paraId="4A7174F2" w14:textId="77777777" w:rsidTr="00C93D65">
        <w:tc>
          <w:tcPr>
            <w:tcW w:w="1710" w:type="dxa"/>
            <w:vMerge/>
          </w:tcPr>
          <w:p w14:paraId="7C87749D" w14:textId="77777777" w:rsidR="004304A2" w:rsidRPr="004304A2" w:rsidRDefault="004304A2" w:rsidP="004304A2">
            <w:pPr>
              <w:tabs>
                <w:tab w:val="left" w:pos="1140"/>
              </w:tabs>
              <w:spacing w:after="200" w:line="276" w:lineRule="auto"/>
              <w:rPr>
                <w:rFonts w:eastAsia="MS Mincho"/>
              </w:rPr>
            </w:pPr>
          </w:p>
        </w:tc>
        <w:tc>
          <w:tcPr>
            <w:tcW w:w="1170" w:type="dxa"/>
          </w:tcPr>
          <w:p w14:paraId="7391B1FA" w14:textId="77777777" w:rsidR="004304A2" w:rsidRPr="004304A2" w:rsidRDefault="004304A2" w:rsidP="004304A2">
            <w:pPr>
              <w:tabs>
                <w:tab w:val="left" w:pos="1140"/>
              </w:tabs>
              <w:spacing w:after="200" w:line="276" w:lineRule="auto"/>
              <w:rPr>
                <w:rFonts w:eastAsia="MS Mincho"/>
              </w:rPr>
            </w:pPr>
            <w:r w:rsidRPr="004304A2">
              <w:rPr>
                <w:rFonts w:eastAsia="MS Mincho"/>
              </w:rPr>
              <w:t>Reading</w:t>
            </w:r>
          </w:p>
        </w:tc>
        <w:tc>
          <w:tcPr>
            <w:tcW w:w="1619" w:type="dxa"/>
          </w:tcPr>
          <w:p w14:paraId="3765C945" w14:textId="77777777" w:rsidR="004304A2" w:rsidRPr="004304A2" w:rsidRDefault="004304A2" w:rsidP="004304A2">
            <w:pPr>
              <w:tabs>
                <w:tab w:val="left" w:pos="1140"/>
              </w:tabs>
              <w:spacing w:after="200" w:line="276" w:lineRule="auto"/>
              <w:rPr>
                <w:rFonts w:eastAsia="MS Mincho"/>
              </w:rPr>
            </w:pPr>
            <w:r w:rsidRPr="004304A2">
              <w:rPr>
                <w:rFonts w:eastAsia="MS Mincho"/>
              </w:rPr>
              <w:t>2016 vs. 2016</w:t>
            </w:r>
          </w:p>
        </w:tc>
        <w:tc>
          <w:tcPr>
            <w:tcW w:w="1014" w:type="dxa"/>
          </w:tcPr>
          <w:p w14:paraId="56E722DF" w14:textId="77777777" w:rsidR="004304A2" w:rsidRPr="004304A2" w:rsidRDefault="004304A2" w:rsidP="004304A2">
            <w:pPr>
              <w:tabs>
                <w:tab w:val="left" w:pos="1140"/>
              </w:tabs>
              <w:spacing w:after="200" w:line="276" w:lineRule="auto"/>
              <w:rPr>
                <w:rFonts w:eastAsia="MS Mincho"/>
              </w:rPr>
            </w:pPr>
            <w:r w:rsidRPr="004304A2">
              <w:rPr>
                <w:rFonts w:eastAsia="MS Mincho"/>
              </w:rPr>
              <w:t>0.985</w:t>
            </w:r>
          </w:p>
        </w:tc>
        <w:tc>
          <w:tcPr>
            <w:tcW w:w="1021" w:type="dxa"/>
          </w:tcPr>
          <w:p w14:paraId="7C31B7CC" w14:textId="77777777" w:rsidR="004304A2" w:rsidRPr="004304A2" w:rsidRDefault="004304A2" w:rsidP="004304A2">
            <w:pPr>
              <w:tabs>
                <w:tab w:val="left" w:pos="1140"/>
              </w:tabs>
              <w:spacing w:after="200" w:line="276" w:lineRule="auto"/>
              <w:rPr>
                <w:rFonts w:eastAsia="MS Mincho"/>
              </w:rPr>
            </w:pPr>
            <w:r w:rsidRPr="004304A2">
              <w:rPr>
                <w:rFonts w:eastAsia="MS Mincho"/>
              </w:rPr>
              <w:t>0.712</w:t>
            </w:r>
          </w:p>
        </w:tc>
        <w:tc>
          <w:tcPr>
            <w:tcW w:w="836" w:type="dxa"/>
          </w:tcPr>
          <w:p w14:paraId="1A6517CE" w14:textId="77777777" w:rsidR="004304A2" w:rsidRPr="004304A2" w:rsidRDefault="004304A2" w:rsidP="004304A2">
            <w:pPr>
              <w:tabs>
                <w:tab w:val="left" w:pos="1140"/>
              </w:tabs>
              <w:spacing w:after="200" w:line="276" w:lineRule="auto"/>
              <w:rPr>
                <w:rFonts w:eastAsia="MS Mincho"/>
              </w:rPr>
            </w:pPr>
            <w:r w:rsidRPr="004304A2">
              <w:rPr>
                <w:rFonts w:eastAsia="MS Mincho"/>
              </w:rPr>
              <w:t>2</w:t>
            </w:r>
          </w:p>
        </w:tc>
        <w:tc>
          <w:tcPr>
            <w:tcW w:w="1157" w:type="dxa"/>
          </w:tcPr>
          <w:p w14:paraId="334EF5B4" w14:textId="77777777" w:rsidR="004304A2" w:rsidRPr="004304A2" w:rsidRDefault="004304A2" w:rsidP="004304A2">
            <w:pPr>
              <w:tabs>
                <w:tab w:val="left" w:pos="1140"/>
              </w:tabs>
              <w:spacing w:after="200" w:line="276" w:lineRule="auto"/>
              <w:rPr>
                <w:rFonts w:eastAsia="MS Mincho"/>
              </w:rPr>
            </w:pPr>
            <w:r w:rsidRPr="004304A2">
              <w:rPr>
                <w:rFonts w:eastAsia="MS Mincho"/>
              </w:rPr>
              <w:t>109.000</w:t>
            </w:r>
          </w:p>
        </w:tc>
        <w:tc>
          <w:tcPr>
            <w:tcW w:w="1193" w:type="dxa"/>
          </w:tcPr>
          <w:p w14:paraId="7734D93F" w14:textId="77777777" w:rsidR="004304A2" w:rsidRPr="004304A2" w:rsidRDefault="004304A2" w:rsidP="004304A2">
            <w:pPr>
              <w:tabs>
                <w:tab w:val="left" w:pos="1140"/>
              </w:tabs>
              <w:spacing w:after="200" w:line="276" w:lineRule="auto"/>
              <w:rPr>
                <w:rFonts w:eastAsia="MS Mincho"/>
              </w:rPr>
            </w:pPr>
            <w:r w:rsidRPr="004304A2">
              <w:rPr>
                <w:rFonts w:eastAsia="MS Mincho"/>
              </w:rPr>
              <w:t>0.492</w:t>
            </w:r>
          </w:p>
        </w:tc>
        <w:tc>
          <w:tcPr>
            <w:tcW w:w="1260" w:type="dxa"/>
          </w:tcPr>
          <w:p w14:paraId="417F4471" w14:textId="77777777" w:rsidR="004304A2" w:rsidRPr="004304A2" w:rsidRDefault="004304A2" w:rsidP="004304A2">
            <w:pPr>
              <w:tabs>
                <w:tab w:val="left" w:pos="1140"/>
              </w:tabs>
              <w:spacing w:after="200" w:line="276" w:lineRule="auto"/>
              <w:rPr>
                <w:rFonts w:eastAsia="MS Mincho"/>
              </w:rPr>
            </w:pPr>
            <w:r w:rsidRPr="004304A2">
              <w:rPr>
                <w:rFonts w:eastAsia="MS Mincho"/>
              </w:rPr>
              <w:t>0.006</w:t>
            </w:r>
          </w:p>
        </w:tc>
      </w:tr>
      <w:tr w:rsidR="004304A2" w:rsidRPr="004304A2" w14:paraId="51E8C2A0" w14:textId="77777777" w:rsidTr="00C93D65">
        <w:tc>
          <w:tcPr>
            <w:tcW w:w="1710" w:type="dxa"/>
            <w:vMerge/>
          </w:tcPr>
          <w:p w14:paraId="7DA05634" w14:textId="77777777" w:rsidR="004304A2" w:rsidRPr="004304A2" w:rsidRDefault="004304A2" w:rsidP="004304A2">
            <w:pPr>
              <w:tabs>
                <w:tab w:val="left" w:pos="1140"/>
              </w:tabs>
              <w:spacing w:after="200" w:line="276" w:lineRule="auto"/>
              <w:rPr>
                <w:rFonts w:eastAsia="MS Mincho"/>
              </w:rPr>
            </w:pPr>
          </w:p>
        </w:tc>
        <w:tc>
          <w:tcPr>
            <w:tcW w:w="1170" w:type="dxa"/>
          </w:tcPr>
          <w:p w14:paraId="0B18177C" w14:textId="77777777" w:rsidR="004304A2" w:rsidRPr="004304A2" w:rsidRDefault="004304A2" w:rsidP="004304A2">
            <w:pPr>
              <w:tabs>
                <w:tab w:val="left" w:pos="1140"/>
              </w:tabs>
              <w:spacing w:after="200" w:line="276" w:lineRule="auto"/>
              <w:rPr>
                <w:rFonts w:eastAsia="MS Mincho"/>
              </w:rPr>
            </w:pPr>
            <w:r w:rsidRPr="004304A2">
              <w:rPr>
                <w:rFonts w:eastAsia="MS Mincho"/>
              </w:rPr>
              <w:t xml:space="preserve">Math </w:t>
            </w:r>
          </w:p>
        </w:tc>
        <w:tc>
          <w:tcPr>
            <w:tcW w:w="1619" w:type="dxa"/>
          </w:tcPr>
          <w:p w14:paraId="364996A3" w14:textId="77777777" w:rsidR="004304A2" w:rsidRPr="004304A2" w:rsidRDefault="004304A2" w:rsidP="004304A2">
            <w:pPr>
              <w:tabs>
                <w:tab w:val="left" w:pos="1140"/>
              </w:tabs>
              <w:spacing w:after="200" w:line="276" w:lineRule="auto"/>
              <w:rPr>
                <w:rFonts w:eastAsia="MS Mincho"/>
              </w:rPr>
            </w:pPr>
            <w:r w:rsidRPr="004304A2">
              <w:rPr>
                <w:rFonts w:eastAsia="MS Mincho"/>
              </w:rPr>
              <w:t>2015 vs. 2017</w:t>
            </w:r>
          </w:p>
        </w:tc>
        <w:tc>
          <w:tcPr>
            <w:tcW w:w="1014" w:type="dxa"/>
          </w:tcPr>
          <w:p w14:paraId="4024B399" w14:textId="77777777" w:rsidR="004304A2" w:rsidRPr="004304A2" w:rsidRDefault="004304A2" w:rsidP="004304A2">
            <w:pPr>
              <w:tabs>
                <w:tab w:val="left" w:pos="1140"/>
              </w:tabs>
              <w:spacing w:after="200" w:line="276" w:lineRule="auto"/>
              <w:rPr>
                <w:rFonts w:eastAsia="MS Mincho"/>
              </w:rPr>
            </w:pPr>
            <w:r w:rsidRPr="004304A2">
              <w:rPr>
                <w:rFonts w:eastAsia="MS Mincho"/>
              </w:rPr>
              <w:t>0.913</w:t>
            </w:r>
          </w:p>
        </w:tc>
        <w:tc>
          <w:tcPr>
            <w:tcW w:w="1021" w:type="dxa"/>
          </w:tcPr>
          <w:p w14:paraId="5B0AB9E4" w14:textId="77777777" w:rsidR="004304A2" w:rsidRPr="004304A2" w:rsidRDefault="004304A2" w:rsidP="004304A2">
            <w:pPr>
              <w:tabs>
                <w:tab w:val="left" w:pos="1140"/>
              </w:tabs>
              <w:spacing w:after="200" w:line="276" w:lineRule="auto"/>
              <w:rPr>
                <w:rFonts w:eastAsia="MS Mincho"/>
              </w:rPr>
            </w:pPr>
            <w:r w:rsidRPr="004304A2">
              <w:rPr>
                <w:rFonts w:eastAsia="MS Mincho"/>
              </w:rPr>
              <w:t>9.572</w:t>
            </w:r>
          </w:p>
        </w:tc>
        <w:tc>
          <w:tcPr>
            <w:tcW w:w="836" w:type="dxa"/>
          </w:tcPr>
          <w:p w14:paraId="458A3A57" w14:textId="77777777" w:rsidR="004304A2" w:rsidRPr="004304A2" w:rsidRDefault="004304A2" w:rsidP="004304A2">
            <w:pPr>
              <w:tabs>
                <w:tab w:val="left" w:pos="1140"/>
              </w:tabs>
              <w:spacing w:after="200" w:line="276" w:lineRule="auto"/>
              <w:rPr>
                <w:rFonts w:eastAsia="MS Mincho"/>
              </w:rPr>
            </w:pPr>
            <w:r w:rsidRPr="004304A2">
              <w:rPr>
                <w:rFonts w:eastAsia="MS Mincho"/>
              </w:rPr>
              <w:t>1</w:t>
            </w:r>
          </w:p>
        </w:tc>
        <w:tc>
          <w:tcPr>
            <w:tcW w:w="1157" w:type="dxa"/>
          </w:tcPr>
          <w:p w14:paraId="62ED05A1" w14:textId="77777777" w:rsidR="004304A2" w:rsidRPr="004304A2" w:rsidRDefault="004304A2" w:rsidP="004304A2">
            <w:pPr>
              <w:tabs>
                <w:tab w:val="left" w:pos="1140"/>
              </w:tabs>
              <w:spacing w:after="200" w:line="276" w:lineRule="auto"/>
              <w:rPr>
                <w:rFonts w:eastAsia="MS Mincho"/>
              </w:rPr>
            </w:pPr>
            <w:r w:rsidRPr="004304A2">
              <w:rPr>
                <w:rFonts w:eastAsia="MS Mincho"/>
              </w:rPr>
              <w:t>101.000</w:t>
            </w:r>
          </w:p>
        </w:tc>
        <w:tc>
          <w:tcPr>
            <w:tcW w:w="1193" w:type="dxa"/>
          </w:tcPr>
          <w:p w14:paraId="39FDCC27" w14:textId="77777777" w:rsidR="004304A2" w:rsidRPr="004304A2" w:rsidRDefault="004304A2" w:rsidP="004304A2">
            <w:pPr>
              <w:tabs>
                <w:tab w:val="left" w:pos="1140"/>
              </w:tabs>
              <w:spacing w:after="200" w:line="276" w:lineRule="auto"/>
              <w:rPr>
                <w:rFonts w:eastAsia="MS Mincho"/>
              </w:rPr>
            </w:pPr>
            <w:r w:rsidRPr="004304A2">
              <w:rPr>
                <w:rFonts w:eastAsia="MS Mincho"/>
              </w:rPr>
              <w:t>0.003*</w:t>
            </w:r>
          </w:p>
        </w:tc>
        <w:tc>
          <w:tcPr>
            <w:tcW w:w="1260" w:type="dxa"/>
          </w:tcPr>
          <w:p w14:paraId="588DC5C4" w14:textId="77777777" w:rsidR="004304A2" w:rsidRPr="004304A2" w:rsidRDefault="004304A2" w:rsidP="004304A2">
            <w:pPr>
              <w:tabs>
                <w:tab w:val="left" w:pos="1140"/>
              </w:tabs>
              <w:spacing w:after="200" w:line="276" w:lineRule="auto"/>
              <w:rPr>
                <w:rFonts w:eastAsia="MS Mincho"/>
              </w:rPr>
            </w:pPr>
            <w:r w:rsidRPr="004304A2">
              <w:rPr>
                <w:rFonts w:eastAsia="MS Mincho"/>
              </w:rPr>
              <w:t>0.087</w:t>
            </w:r>
          </w:p>
        </w:tc>
      </w:tr>
      <w:tr w:rsidR="004304A2" w:rsidRPr="004304A2" w14:paraId="05D998A3" w14:textId="77777777" w:rsidTr="00C93D65">
        <w:tc>
          <w:tcPr>
            <w:tcW w:w="1710" w:type="dxa"/>
            <w:vMerge/>
          </w:tcPr>
          <w:p w14:paraId="697F4678" w14:textId="77777777" w:rsidR="004304A2" w:rsidRPr="004304A2" w:rsidRDefault="004304A2" w:rsidP="004304A2">
            <w:pPr>
              <w:tabs>
                <w:tab w:val="left" w:pos="1140"/>
              </w:tabs>
              <w:spacing w:after="200" w:line="276" w:lineRule="auto"/>
              <w:rPr>
                <w:rFonts w:eastAsia="MS Mincho"/>
              </w:rPr>
            </w:pPr>
          </w:p>
        </w:tc>
        <w:tc>
          <w:tcPr>
            <w:tcW w:w="1170" w:type="dxa"/>
          </w:tcPr>
          <w:p w14:paraId="52BF5B56" w14:textId="77777777" w:rsidR="004304A2" w:rsidRPr="004304A2" w:rsidRDefault="004304A2" w:rsidP="004304A2">
            <w:pPr>
              <w:tabs>
                <w:tab w:val="left" w:pos="1140"/>
              </w:tabs>
              <w:spacing w:after="200" w:line="276" w:lineRule="auto"/>
              <w:rPr>
                <w:rFonts w:eastAsia="MS Mincho"/>
              </w:rPr>
            </w:pPr>
            <w:r w:rsidRPr="004304A2">
              <w:rPr>
                <w:rFonts w:eastAsia="MS Mincho"/>
              </w:rPr>
              <w:t xml:space="preserve">Reading </w:t>
            </w:r>
          </w:p>
        </w:tc>
        <w:tc>
          <w:tcPr>
            <w:tcW w:w="1619" w:type="dxa"/>
          </w:tcPr>
          <w:p w14:paraId="121FC1BF" w14:textId="77777777" w:rsidR="004304A2" w:rsidRPr="004304A2" w:rsidRDefault="004304A2" w:rsidP="004304A2">
            <w:pPr>
              <w:tabs>
                <w:tab w:val="left" w:pos="1140"/>
              </w:tabs>
              <w:spacing w:after="200" w:line="276" w:lineRule="auto"/>
              <w:rPr>
                <w:rFonts w:eastAsia="MS Mincho"/>
              </w:rPr>
            </w:pPr>
            <w:r w:rsidRPr="004304A2">
              <w:rPr>
                <w:rFonts w:eastAsia="MS Mincho"/>
              </w:rPr>
              <w:t>2015 vs. 2017</w:t>
            </w:r>
          </w:p>
        </w:tc>
        <w:tc>
          <w:tcPr>
            <w:tcW w:w="1014" w:type="dxa"/>
          </w:tcPr>
          <w:p w14:paraId="67586525" w14:textId="77777777" w:rsidR="004304A2" w:rsidRPr="004304A2" w:rsidRDefault="004304A2" w:rsidP="004304A2">
            <w:pPr>
              <w:tabs>
                <w:tab w:val="left" w:pos="1140"/>
              </w:tabs>
              <w:spacing w:after="200" w:line="276" w:lineRule="auto"/>
              <w:rPr>
                <w:rFonts w:eastAsia="MS Mincho"/>
              </w:rPr>
            </w:pPr>
            <w:r w:rsidRPr="004304A2">
              <w:rPr>
                <w:rFonts w:eastAsia="MS Mincho"/>
              </w:rPr>
              <w:t>0.998</w:t>
            </w:r>
          </w:p>
        </w:tc>
        <w:tc>
          <w:tcPr>
            <w:tcW w:w="1021" w:type="dxa"/>
          </w:tcPr>
          <w:p w14:paraId="452D3573" w14:textId="77777777" w:rsidR="004304A2" w:rsidRPr="004304A2" w:rsidRDefault="004304A2" w:rsidP="004304A2">
            <w:pPr>
              <w:tabs>
                <w:tab w:val="left" w:pos="1140"/>
              </w:tabs>
              <w:spacing w:after="200" w:line="276" w:lineRule="auto"/>
              <w:rPr>
                <w:rFonts w:eastAsia="MS Mincho"/>
              </w:rPr>
            </w:pPr>
            <w:r w:rsidRPr="004304A2">
              <w:rPr>
                <w:rFonts w:eastAsia="MS Mincho"/>
              </w:rPr>
              <w:t>0.241</w:t>
            </w:r>
          </w:p>
        </w:tc>
        <w:tc>
          <w:tcPr>
            <w:tcW w:w="836" w:type="dxa"/>
          </w:tcPr>
          <w:p w14:paraId="72686407" w14:textId="77777777" w:rsidR="004304A2" w:rsidRPr="004304A2" w:rsidRDefault="004304A2" w:rsidP="004304A2">
            <w:pPr>
              <w:tabs>
                <w:tab w:val="left" w:pos="1140"/>
              </w:tabs>
              <w:spacing w:after="200" w:line="276" w:lineRule="auto"/>
              <w:rPr>
                <w:rFonts w:eastAsia="MS Mincho"/>
              </w:rPr>
            </w:pPr>
            <w:r w:rsidRPr="004304A2">
              <w:rPr>
                <w:rFonts w:eastAsia="MS Mincho"/>
              </w:rPr>
              <w:t>1</w:t>
            </w:r>
          </w:p>
        </w:tc>
        <w:tc>
          <w:tcPr>
            <w:tcW w:w="1157" w:type="dxa"/>
          </w:tcPr>
          <w:p w14:paraId="29D245EC" w14:textId="77777777" w:rsidR="004304A2" w:rsidRPr="004304A2" w:rsidRDefault="004304A2" w:rsidP="004304A2">
            <w:pPr>
              <w:tabs>
                <w:tab w:val="left" w:pos="1140"/>
              </w:tabs>
              <w:spacing w:after="200" w:line="276" w:lineRule="auto"/>
              <w:rPr>
                <w:rFonts w:eastAsia="MS Mincho"/>
              </w:rPr>
            </w:pPr>
            <w:r w:rsidRPr="004304A2">
              <w:rPr>
                <w:rFonts w:eastAsia="MS Mincho"/>
              </w:rPr>
              <w:t>101.000</w:t>
            </w:r>
          </w:p>
        </w:tc>
        <w:tc>
          <w:tcPr>
            <w:tcW w:w="1193" w:type="dxa"/>
          </w:tcPr>
          <w:p w14:paraId="02D13F70" w14:textId="77777777" w:rsidR="004304A2" w:rsidRPr="004304A2" w:rsidRDefault="004304A2" w:rsidP="004304A2">
            <w:pPr>
              <w:tabs>
                <w:tab w:val="left" w:pos="1140"/>
              </w:tabs>
              <w:spacing w:after="200" w:line="276" w:lineRule="auto"/>
              <w:rPr>
                <w:rFonts w:eastAsia="MS Mincho"/>
              </w:rPr>
            </w:pPr>
            <w:r w:rsidRPr="004304A2">
              <w:rPr>
                <w:rFonts w:eastAsia="MS Mincho"/>
              </w:rPr>
              <w:t>0.624</w:t>
            </w:r>
          </w:p>
        </w:tc>
        <w:tc>
          <w:tcPr>
            <w:tcW w:w="1260" w:type="dxa"/>
          </w:tcPr>
          <w:p w14:paraId="307B50DA" w14:textId="77777777" w:rsidR="004304A2" w:rsidRPr="004304A2" w:rsidRDefault="004304A2" w:rsidP="004304A2">
            <w:pPr>
              <w:tabs>
                <w:tab w:val="left" w:pos="1140"/>
              </w:tabs>
              <w:spacing w:after="200" w:line="276" w:lineRule="auto"/>
              <w:rPr>
                <w:rFonts w:eastAsia="MS Mincho"/>
              </w:rPr>
            </w:pPr>
            <w:r w:rsidRPr="004304A2">
              <w:rPr>
                <w:rFonts w:eastAsia="MS Mincho"/>
              </w:rPr>
              <w:t>0.002</w:t>
            </w:r>
          </w:p>
        </w:tc>
      </w:tr>
      <w:tr w:rsidR="004304A2" w:rsidRPr="004304A2" w14:paraId="11E7DCC7" w14:textId="77777777" w:rsidTr="00C93D65">
        <w:tc>
          <w:tcPr>
            <w:tcW w:w="1710" w:type="dxa"/>
            <w:vMerge w:val="restart"/>
          </w:tcPr>
          <w:p w14:paraId="07C15CBE" w14:textId="77777777" w:rsidR="004304A2" w:rsidRPr="004304A2" w:rsidRDefault="004304A2" w:rsidP="004304A2">
            <w:pPr>
              <w:tabs>
                <w:tab w:val="left" w:pos="1140"/>
              </w:tabs>
              <w:spacing w:after="200" w:line="276" w:lineRule="auto"/>
              <w:rPr>
                <w:rFonts w:eastAsia="MS Mincho"/>
              </w:rPr>
            </w:pPr>
            <w:r w:rsidRPr="004304A2">
              <w:rPr>
                <w:rFonts w:eastAsia="MS Mincho"/>
              </w:rPr>
              <w:t xml:space="preserve">Second </w:t>
            </w:r>
          </w:p>
        </w:tc>
        <w:tc>
          <w:tcPr>
            <w:tcW w:w="1170" w:type="dxa"/>
          </w:tcPr>
          <w:p w14:paraId="200F88FE" w14:textId="77777777" w:rsidR="004304A2" w:rsidRPr="004304A2" w:rsidRDefault="004304A2" w:rsidP="004304A2">
            <w:pPr>
              <w:tabs>
                <w:tab w:val="left" w:pos="1140"/>
              </w:tabs>
              <w:spacing w:after="200" w:line="276" w:lineRule="auto"/>
              <w:rPr>
                <w:rFonts w:eastAsia="MS Mincho"/>
              </w:rPr>
            </w:pPr>
            <w:r w:rsidRPr="004304A2">
              <w:rPr>
                <w:rFonts w:eastAsia="MS Mincho"/>
              </w:rPr>
              <w:t xml:space="preserve">Math </w:t>
            </w:r>
          </w:p>
        </w:tc>
        <w:tc>
          <w:tcPr>
            <w:tcW w:w="1619" w:type="dxa"/>
          </w:tcPr>
          <w:p w14:paraId="0F0732F2" w14:textId="77777777" w:rsidR="004304A2" w:rsidRPr="004304A2" w:rsidRDefault="004304A2" w:rsidP="004304A2">
            <w:pPr>
              <w:tabs>
                <w:tab w:val="left" w:pos="1140"/>
              </w:tabs>
              <w:spacing w:after="200" w:line="276" w:lineRule="auto"/>
              <w:rPr>
                <w:rFonts w:eastAsia="MS Mincho"/>
              </w:rPr>
            </w:pPr>
            <w:r w:rsidRPr="004304A2">
              <w:rPr>
                <w:rFonts w:eastAsia="MS Mincho"/>
              </w:rPr>
              <w:t xml:space="preserve">2015 vs. 2016 </w:t>
            </w:r>
          </w:p>
        </w:tc>
        <w:tc>
          <w:tcPr>
            <w:tcW w:w="1014" w:type="dxa"/>
          </w:tcPr>
          <w:p w14:paraId="223A2A02" w14:textId="77777777" w:rsidR="004304A2" w:rsidRPr="004304A2" w:rsidRDefault="004304A2" w:rsidP="004304A2">
            <w:pPr>
              <w:tabs>
                <w:tab w:val="left" w:pos="1140"/>
              </w:tabs>
              <w:spacing w:after="200" w:line="276" w:lineRule="auto"/>
              <w:rPr>
                <w:rFonts w:eastAsia="MS Mincho"/>
              </w:rPr>
            </w:pPr>
            <w:r w:rsidRPr="004304A2">
              <w:rPr>
                <w:rFonts w:eastAsia="MS Mincho"/>
              </w:rPr>
              <w:t>0.998</w:t>
            </w:r>
          </w:p>
        </w:tc>
        <w:tc>
          <w:tcPr>
            <w:tcW w:w="1021" w:type="dxa"/>
          </w:tcPr>
          <w:p w14:paraId="2C6A5C21" w14:textId="77777777" w:rsidR="004304A2" w:rsidRPr="004304A2" w:rsidRDefault="004304A2" w:rsidP="004304A2">
            <w:pPr>
              <w:tabs>
                <w:tab w:val="left" w:pos="1140"/>
              </w:tabs>
              <w:spacing w:after="200" w:line="276" w:lineRule="auto"/>
              <w:rPr>
                <w:rFonts w:eastAsia="MS Mincho"/>
              </w:rPr>
            </w:pPr>
            <w:r w:rsidRPr="004304A2">
              <w:rPr>
                <w:rFonts w:eastAsia="MS Mincho"/>
              </w:rPr>
              <w:t>0.077</w:t>
            </w:r>
          </w:p>
        </w:tc>
        <w:tc>
          <w:tcPr>
            <w:tcW w:w="836" w:type="dxa"/>
          </w:tcPr>
          <w:p w14:paraId="075D29D2" w14:textId="77777777" w:rsidR="004304A2" w:rsidRPr="004304A2" w:rsidRDefault="004304A2" w:rsidP="004304A2">
            <w:pPr>
              <w:tabs>
                <w:tab w:val="left" w:pos="1140"/>
              </w:tabs>
              <w:spacing w:after="200" w:line="276" w:lineRule="auto"/>
              <w:rPr>
                <w:rFonts w:eastAsia="MS Mincho"/>
              </w:rPr>
            </w:pPr>
            <w:r w:rsidRPr="004304A2">
              <w:rPr>
                <w:rFonts w:eastAsia="MS Mincho"/>
              </w:rPr>
              <w:t>2</w:t>
            </w:r>
          </w:p>
        </w:tc>
        <w:tc>
          <w:tcPr>
            <w:tcW w:w="1157" w:type="dxa"/>
          </w:tcPr>
          <w:p w14:paraId="1C1A09E0" w14:textId="77777777" w:rsidR="004304A2" w:rsidRPr="004304A2" w:rsidRDefault="004304A2" w:rsidP="004304A2">
            <w:pPr>
              <w:tabs>
                <w:tab w:val="left" w:pos="1140"/>
              </w:tabs>
              <w:spacing w:after="200" w:line="276" w:lineRule="auto"/>
              <w:rPr>
                <w:rFonts w:eastAsia="MS Mincho"/>
              </w:rPr>
            </w:pPr>
            <w:r w:rsidRPr="004304A2">
              <w:rPr>
                <w:rFonts w:eastAsia="MS Mincho"/>
              </w:rPr>
              <w:t>119.000</w:t>
            </w:r>
          </w:p>
        </w:tc>
        <w:tc>
          <w:tcPr>
            <w:tcW w:w="1193" w:type="dxa"/>
          </w:tcPr>
          <w:p w14:paraId="2DF98CC6" w14:textId="77777777" w:rsidR="004304A2" w:rsidRPr="004304A2" w:rsidRDefault="004304A2" w:rsidP="004304A2">
            <w:pPr>
              <w:tabs>
                <w:tab w:val="left" w:pos="1140"/>
              </w:tabs>
              <w:spacing w:after="200" w:line="276" w:lineRule="auto"/>
              <w:rPr>
                <w:rFonts w:eastAsia="MS Mincho"/>
              </w:rPr>
            </w:pPr>
            <w:r w:rsidRPr="004304A2">
              <w:rPr>
                <w:rFonts w:eastAsia="MS Mincho"/>
              </w:rPr>
              <w:t>0.926</w:t>
            </w:r>
          </w:p>
        </w:tc>
        <w:tc>
          <w:tcPr>
            <w:tcW w:w="1260" w:type="dxa"/>
          </w:tcPr>
          <w:p w14:paraId="599A5CD2" w14:textId="77777777" w:rsidR="004304A2" w:rsidRPr="004304A2" w:rsidRDefault="004304A2" w:rsidP="004304A2">
            <w:pPr>
              <w:tabs>
                <w:tab w:val="left" w:pos="1140"/>
              </w:tabs>
              <w:spacing w:after="200" w:line="276" w:lineRule="auto"/>
              <w:rPr>
                <w:rFonts w:eastAsia="MS Mincho"/>
              </w:rPr>
            </w:pPr>
            <w:r w:rsidRPr="004304A2">
              <w:rPr>
                <w:rFonts w:eastAsia="MS Mincho"/>
              </w:rPr>
              <w:t>0.001</w:t>
            </w:r>
          </w:p>
        </w:tc>
      </w:tr>
      <w:tr w:rsidR="004304A2" w:rsidRPr="004304A2" w14:paraId="2CF87809" w14:textId="77777777" w:rsidTr="00C93D65">
        <w:tc>
          <w:tcPr>
            <w:tcW w:w="1710" w:type="dxa"/>
            <w:vMerge/>
          </w:tcPr>
          <w:p w14:paraId="070D74C5" w14:textId="77777777" w:rsidR="004304A2" w:rsidRPr="004304A2" w:rsidRDefault="004304A2" w:rsidP="004304A2">
            <w:pPr>
              <w:tabs>
                <w:tab w:val="left" w:pos="1140"/>
              </w:tabs>
              <w:spacing w:after="200" w:line="276" w:lineRule="auto"/>
              <w:rPr>
                <w:rFonts w:eastAsia="MS Mincho"/>
              </w:rPr>
            </w:pPr>
          </w:p>
        </w:tc>
        <w:tc>
          <w:tcPr>
            <w:tcW w:w="1170" w:type="dxa"/>
          </w:tcPr>
          <w:p w14:paraId="2A455F11" w14:textId="77777777" w:rsidR="004304A2" w:rsidRPr="004304A2" w:rsidRDefault="004304A2" w:rsidP="004304A2">
            <w:pPr>
              <w:tabs>
                <w:tab w:val="left" w:pos="1140"/>
              </w:tabs>
              <w:spacing w:after="200" w:line="276" w:lineRule="auto"/>
              <w:rPr>
                <w:rFonts w:eastAsia="MS Mincho"/>
              </w:rPr>
            </w:pPr>
            <w:r w:rsidRPr="004304A2">
              <w:rPr>
                <w:rFonts w:eastAsia="MS Mincho"/>
              </w:rPr>
              <w:t xml:space="preserve">Reading </w:t>
            </w:r>
          </w:p>
        </w:tc>
        <w:tc>
          <w:tcPr>
            <w:tcW w:w="1619" w:type="dxa"/>
          </w:tcPr>
          <w:p w14:paraId="425CDD2D" w14:textId="77777777" w:rsidR="004304A2" w:rsidRPr="004304A2" w:rsidRDefault="004304A2" w:rsidP="004304A2">
            <w:pPr>
              <w:tabs>
                <w:tab w:val="left" w:pos="1140"/>
              </w:tabs>
              <w:spacing w:after="200" w:line="276" w:lineRule="auto"/>
              <w:rPr>
                <w:rFonts w:eastAsia="MS Mincho"/>
              </w:rPr>
            </w:pPr>
            <w:r w:rsidRPr="004304A2">
              <w:rPr>
                <w:rFonts w:eastAsia="MS Mincho"/>
              </w:rPr>
              <w:t>2015 vs. 2016</w:t>
            </w:r>
          </w:p>
        </w:tc>
        <w:tc>
          <w:tcPr>
            <w:tcW w:w="1014" w:type="dxa"/>
          </w:tcPr>
          <w:p w14:paraId="7F9DE48E" w14:textId="77777777" w:rsidR="004304A2" w:rsidRPr="004304A2" w:rsidRDefault="004304A2" w:rsidP="004304A2">
            <w:pPr>
              <w:tabs>
                <w:tab w:val="left" w:pos="1140"/>
              </w:tabs>
              <w:spacing w:after="200" w:line="276" w:lineRule="auto"/>
              <w:rPr>
                <w:rFonts w:eastAsia="MS Mincho"/>
              </w:rPr>
            </w:pPr>
            <w:r w:rsidRPr="004304A2">
              <w:rPr>
                <w:rFonts w:eastAsia="MS Mincho"/>
              </w:rPr>
              <w:t>0.985</w:t>
            </w:r>
          </w:p>
        </w:tc>
        <w:tc>
          <w:tcPr>
            <w:tcW w:w="1021" w:type="dxa"/>
          </w:tcPr>
          <w:p w14:paraId="67561A4A" w14:textId="77777777" w:rsidR="004304A2" w:rsidRPr="004304A2" w:rsidRDefault="004304A2" w:rsidP="004304A2">
            <w:pPr>
              <w:tabs>
                <w:tab w:val="left" w:pos="1140"/>
              </w:tabs>
              <w:spacing w:after="200" w:line="276" w:lineRule="auto"/>
              <w:rPr>
                <w:rFonts w:eastAsia="MS Mincho"/>
              </w:rPr>
            </w:pPr>
            <w:r w:rsidRPr="004304A2">
              <w:rPr>
                <w:rFonts w:eastAsia="MS Mincho"/>
              </w:rPr>
              <w:t>1.145</w:t>
            </w:r>
          </w:p>
        </w:tc>
        <w:tc>
          <w:tcPr>
            <w:tcW w:w="836" w:type="dxa"/>
          </w:tcPr>
          <w:p w14:paraId="6D3B68B7" w14:textId="77777777" w:rsidR="004304A2" w:rsidRPr="004304A2" w:rsidRDefault="004304A2" w:rsidP="004304A2">
            <w:pPr>
              <w:tabs>
                <w:tab w:val="left" w:pos="1140"/>
              </w:tabs>
              <w:spacing w:after="200" w:line="276" w:lineRule="auto"/>
              <w:rPr>
                <w:rFonts w:eastAsia="MS Mincho"/>
              </w:rPr>
            </w:pPr>
            <w:r w:rsidRPr="004304A2">
              <w:rPr>
                <w:rFonts w:eastAsia="MS Mincho"/>
              </w:rPr>
              <w:t>2</w:t>
            </w:r>
          </w:p>
        </w:tc>
        <w:tc>
          <w:tcPr>
            <w:tcW w:w="1157" w:type="dxa"/>
          </w:tcPr>
          <w:p w14:paraId="1B2D1A89" w14:textId="77777777" w:rsidR="004304A2" w:rsidRPr="004304A2" w:rsidRDefault="004304A2" w:rsidP="004304A2">
            <w:pPr>
              <w:tabs>
                <w:tab w:val="left" w:pos="1140"/>
              </w:tabs>
              <w:spacing w:after="200" w:line="276" w:lineRule="auto"/>
              <w:rPr>
                <w:rFonts w:eastAsia="MS Mincho"/>
              </w:rPr>
            </w:pPr>
            <w:r w:rsidRPr="004304A2">
              <w:rPr>
                <w:rFonts w:eastAsia="MS Mincho"/>
              </w:rPr>
              <w:t>119.000</w:t>
            </w:r>
          </w:p>
        </w:tc>
        <w:tc>
          <w:tcPr>
            <w:tcW w:w="1193" w:type="dxa"/>
          </w:tcPr>
          <w:p w14:paraId="2C5FBC88" w14:textId="77777777" w:rsidR="004304A2" w:rsidRPr="004304A2" w:rsidRDefault="004304A2" w:rsidP="004304A2">
            <w:pPr>
              <w:tabs>
                <w:tab w:val="left" w:pos="1140"/>
              </w:tabs>
              <w:spacing w:after="200" w:line="276" w:lineRule="auto"/>
              <w:rPr>
                <w:rFonts w:eastAsia="MS Mincho"/>
              </w:rPr>
            </w:pPr>
            <w:r w:rsidRPr="004304A2">
              <w:rPr>
                <w:rFonts w:eastAsia="MS Mincho"/>
              </w:rPr>
              <w:t>0.320</w:t>
            </w:r>
          </w:p>
        </w:tc>
        <w:tc>
          <w:tcPr>
            <w:tcW w:w="1260" w:type="dxa"/>
          </w:tcPr>
          <w:p w14:paraId="6FD0812C" w14:textId="77777777" w:rsidR="004304A2" w:rsidRPr="004304A2" w:rsidRDefault="004304A2" w:rsidP="004304A2">
            <w:pPr>
              <w:tabs>
                <w:tab w:val="left" w:pos="1140"/>
              </w:tabs>
              <w:spacing w:after="200" w:line="276" w:lineRule="auto"/>
              <w:rPr>
                <w:rFonts w:eastAsia="MS Mincho"/>
              </w:rPr>
            </w:pPr>
            <w:r w:rsidRPr="004304A2">
              <w:rPr>
                <w:rFonts w:eastAsia="MS Mincho"/>
              </w:rPr>
              <w:t>0.009</w:t>
            </w:r>
          </w:p>
        </w:tc>
      </w:tr>
      <w:tr w:rsidR="004304A2" w:rsidRPr="004304A2" w14:paraId="7FC2EE3B" w14:textId="77777777" w:rsidTr="00C93D65">
        <w:tc>
          <w:tcPr>
            <w:tcW w:w="1710" w:type="dxa"/>
            <w:vMerge/>
          </w:tcPr>
          <w:p w14:paraId="5321BF45" w14:textId="77777777" w:rsidR="004304A2" w:rsidRPr="004304A2" w:rsidRDefault="004304A2" w:rsidP="004304A2">
            <w:pPr>
              <w:tabs>
                <w:tab w:val="left" w:pos="1140"/>
              </w:tabs>
              <w:spacing w:after="200" w:line="276" w:lineRule="auto"/>
              <w:rPr>
                <w:rFonts w:eastAsia="MS Mincho"/>
              </w:rPr>
            </w:pPr>
          </w:p>
        </w:tc>
        <w:tc>
          <w:tcPr>
            <w:tcW w:w="1170" w:type="dxa"/>
          </w:tcPr>
          <w:p w14:paraId="50B39747" w14:textId="77777777" w:rsidR="004304A2" w:rsidRPr="004304A2" w:rsidRDefault="004304A2" w:rsidP="004304A2">
            <w:pPr>
              <w:tabs>
                <w:tab w:val="left" w:pos="1140"/>
              </w:tabs>
              <w:spacing w:after="200" w:line="276" w:lineRule="auto"/>
              <w:rPr>
                <w:rFonts w:eastAsia="MS Mincho"/>
              </w:rPr>
            </w:pPr>
            <w:r w:rsidRPr="004304A2">
              <w:rPr>
                <w:rFonts w:eastAsia="MS Mincho"/>
              </w:rPr>
              <w:t xml:space="preserve">Math </w:t>
            </w:r>
          </w:p>
        </w:tc>
        <w:tc>
          <w:tcPr>
            <w:tcW w:w="1619" w:type="dxa"/>
          </w:tcPr>
          <w:p w14:paraId="14BF5723" w14:textId="77777777" w:rsidR="004304A2" w:rsidRPr="004304A2" w:rsidRDefault="004304A2" w:rsidP="004304A2">
            <w:pPr>
              <w:tabs>
                <w:tab w:val="left" w:pos="1140"/>
              </w:tabs>
              <w:spacing w:after="200" w:line="276" w:lineRule="auto"/>
              <w:rPr>
                <w:rFonts w:eastAsia="MS Mincho"/>
              </w:rPr>
            </w:pPr>
            <w:r w:rsidRPr="004304A2">
              <w:rPr>
                <w:rFonts w:eastAsia="MS Mincho"/>
              </w:rPr>
              <w:t>2015 vs. 2017</w:t>
            </w:r>
          </w:p>
        </w:tc>
        <w:tc>
          <w:tcPr>
            <w:tcW w:w="1014" w:type="dxa"/>
          </w:tcPr>
          <w:p w14:paraId="0B7E931D" w14:textId="77777777" w:rsidR="004304A2" w:rsidRPr="004304A2" w:rsidRDefault="004304A2" w:rsidP="004304A2">
            <w:pPr>
              <w:tabs>
                <w:tab w:val="left" w:pos="1140"/>
              </w:tabs>
              <w:spacing w:after="200" w:line="276" w:lineRule="auto"/>
              <w:rPr>
                <w:rFonts w:eastAsia="MS Mincho"/>
              </w:rPr>
            </w:pPr>
            <w:r w:rsidRPr="004304A2">
              <w:rPr>
                <w:rFonts w:eastAsia="MS Mincho"/>
              </w:rPr>
              <w:t>0.999</w:t>
            </w:r>
          </w:p>
        </w:tc>
        <w:tc>
          <w:tcPr>
            <w:tcW w:w="1021" w:type="dxa"/>
          </w:tcPr>
          <w:p w14:paraId="11DE7842" w14:textId="77777777" w:rsidR="004304A2" w:rsidRPr="004304A2" w:rsidRDefault="004304A2" w:rsidP="004304A2">
            <w:pPr>
              <w:tabs>
                <w:tab w:val="left" w:pos="1140"/>
              </w:tabs>
              <w:spacing w:after="200" w:line="276" w:lineRule="auto"/>
              <w:rPr>
                <w:rFonts w:eastAsia="MS Mincho"/>
              </w:rPr>
            </w:pPr>
            <w:r w:rsidRPr="004304A2">
              <w:rPr>
                <w:rFonts w:eastAsia="MS Mincho"/>
              </w:rPr>
              <w:t>0.175</w:t>
            </w:r>
          </w:p>
        </w:tc>
        <w:tc>
          <w:tcPr>
            <w:tcW w:w="836" w:type="dxa"/>
          </w:tcPr>
          <w:p w14:paraId="1EB842B6" w14:textId="77777777" w:rsidR="004304A2" w:rsidRPr="004304A2" w:rsidRDefault="004304A2" w:rsidP="004304A2">
            <w:pPr>
              <w:tabs>
                <w:tab w:val="left" w:pos="1140"/>
              </w:tabs>
              <w:spacing w:after="200" w:line="276" w:lineRule="auto"/>
              <w:rPr>
                <w:rFonts w:eastAsia="MS Mincho"/>
              </w:rPr>
            </w:pPr>
            <w:r w:rsidRPr="004304A2">
              <w:rPr>
                <w:rFonts w:eastAsia="MS Mincho"/>
              </w:rPr>
              <w:t>1</w:t>
            </w:r>
          </w:p>
        </w:tc>
        <w:tc>
          <w:tcPr>
            <w:tcW w:w="1157" w:type="dxa"/>
          </w:tcPr>
          <w:p w14:paraId="1DE40594" w14:textId="77777777" w:rsidR="004304A2" w:rsidRPr="004304A2" w:rsidRDefault="004304A2" w:rsidP="004304A2">
            <w:pPr>
              <w:tabs>
                <w:tab w:val="left" w:pos="1140"/>
              </w:tabs>
              <w:spacing w:after="200" w:line="276" w:lineRule="auto"/>
              <w:rPr>
                <w:rFonts w:eastAsia="MS Mincho"/>
              </w:rPr>
            </w:pPr>
            <w:r w:rsidRPr="004304A2">
              <w:rPr>
                <w:rFonts w:eastAsia="MS Mincho"/>
              </w:rPr>
              <w:t>144.000</w:t>
            </w:r>
          </w:p>
        </w:tc>
        <w:tc>
          <w:tcPr>
            <w:tcW w:w="1193" w:type="dxa"/>
          </w:tcPr>
          <w:p w14:paraId="4FB6C0DA" w14:textId="77777777" w:rsidR="004304A2" w:rsidRPr="004304A2" w:rsidRDefault="004304A2" w:rsidP="004304A2">
            <w:pPr>
              <w:tabs>
                <w:tab w:val="left" w:pos="1140"/>
              </w:tabs>
              <w:spacing w:after="200" w:line="276" w:lineRule="auto"/>
              <w:rPr>
                <w:rFonts w:eastAsia="MS Mincho"/>
              </w:rPr>
            </w:pPr>
            <w:r w:rsidRPr="004304A2">
              <w:rPr>
                <w:rFonts w:eastAsia="MS Mincho"/>
              </w:rPr>
              <w:t>0.677</w:t>
            </w:r>
          </w:p>
        </w:tc>
        <w:tc>
          <w:tcPr>
            <w:tcW w:w="1260" w:type="dxa"/>
          </w:tcPr>
          <w:p w14:paraId="31114CFA" w14:textId="77777777" w:rsidR="004304A2" w:rsidRPr="004304A2" w:rsidRDefault="004304A2" w:rsidP="004304A2">
            <w:pPr>
              <w:tabs>
                <w:tab w:val="left" w:pos="1140"/>
              </w:tabs>
              <w:spacing w:after="200" w:line="276" w:lineRule="auto"/>
              <w:rPr>
                <w:rFonts w:eastAsia="MS Mincho"/>
              </w:rPr>
            </w:pPr>
            <w:r w:rsidRPr="004304A2">
              <w:rPr>
                <w:rFonts w:eastAsia="MS Mincho"/>
              </w:rPr>
              <w:t>0.001</w:t>
            </w:r>
          </w:p>
        </w:tc>
      </w:tr>
      <w:tr w:rsidR="004304A2" w:rsidRPr="004304A2" w14:paraId="3696B75C" w14:textId="77777777" w:rsidTr="00C93D65">
        <w:tc>
          <w:tcPr>
            <w:tcW w:w="1710" w:type="dxa"/>
            <w:vMerge/>
          </w:tcPr>
          <w:p w14:paraId="743A3E59" w14:textId="77777777" w:rsidR="004304A2" w:rsidRPr="004304A2" w:rsidRDefault="004304A2" w:rsidP="004304A2">
            <w:pPr>
              <w:tabs>
                <w:tab w:val="left" w:pos="1140"/>
              </w:tabs>
              <w:spacing w:after="200" w:line="276" w:lineRule="auto"/>
              <w:rPr>
                <w:rFonts w:eastAsia="MS Mincho"/>
              </w:rPr>
            </w:pPr>
          </w:p>
        </w:tc>
        <w:tc>
          <w:tcPr>
            <w:tcW w:w="1170" w:type="dxa"/>
          </w:tcPr>
          <w:p w14:paraId="7976D257" w14:textId="77777777" w:rsidR="004304A2" w:rsidRPr="004304A2" w:rsidRDefault="004304A2" w:rsidP="004304A2">
            <w:pPr>
              <w:tabs>
                <w:tab w:val="left" w:pos="1140"/>
              </w:tabs>
              <w:spacing w:after="200" w:line="276" w:lineRule="auto"/>
              <w:rPr>
                <w:rFonts w:eastAsia="MS Mincho"/>
              </w:rPr>
            </w:pPr>
            <w:r w:rsidRPr="004304A2">
              <w:rPr>
                <w:rFonts w:eastAsia="MS Mincho"/>
              </w:rPr>
              <w:t xml:space="preserve">Reading </w:t>
            </w:r>
          </w:p>
        </w:tc>
        <w:tc>
          <w:tcPr>
            <w:tcW w:w="1619" w:type="dxa"/>
          </w:tcPr>
          <w:p w14:paraId="5E70571A" w14:textId="77777777" w:rsidR="004304A2" w:rsidRPr="004304A2" w:rsidRDefault="004304A2" w:rsidP="004304A2">
            <w:pPr>
              <w:tabs>
                <w:tab w:val="left" w:pos="1140"/>
              </w:tabs>
              <w:spacing w:after="200" w:line="276" w:lineRule="auto"/>
              <w:rPr>
                <w:rFonts w:eastAsia="MS Mincho"/>
              </w:rPr>
            </w:pPr>
            <w:r w:rsidRPr="004304A2">
              <w:rPr>
                <w:rFonts w:eastAsia="MS Mincho"/>
              </w:rPr>
              <w:t xml:space="preserve">2015 vs. 2017 </w:t>
            </w:r>
          </w:p>
        </w:tc>
        <w:tc>
          <w:tcPr>
            <w:tcW w:w="1014" w:type="dxa"/>
          </w:tcPr>
          <w:p w14:paraId="16CA7842" w14:textId="77777777" w:rsidR="004304A2" w:rsidRPr="004304A2" w:rsidRDefault="004304A2" w:rsidP="004304A2">
            <w:pPr>
              <w:tabs>
                <w:tab w:val="left" w:pos="1140"/>
              </w:tabs>
              <w:spacing w:after="200" w:line="276" w:lineRule="auto"/>
              <w:rPr>
                <w:rFonts w:eastAsia="MS Mincho"/>
              </w:rPr>
            </w:pPr>
            <w:r w:rsidRPr="004304A2">
              <w:rPr>
                <w:rFonts w:eastAsia="MS Mincho"/>
              </w:rPr>
              <w:t>0.985</w:t>
            </w:r>
          </w:p>
        </w:tc>
        <w:tc>
          <w:tcPr>
            <w:tcW w:w="1021" w:type="dxa"/>
          </w:tcPr>
          <w:p w14:paraId="70744075" w14:textId="77777777" w:rsidR="004304A2" w:rsidRPr="004304A2" w:rsidRDefault="004304A2" w:rsidP="004304A2">
            <w:pPr>
              <w:tabs>
                <w:tab w:val="left" w:pos="1140"/>
              </w:tabs>
              <w:spacing w:after="200" w:line="276" w:lineRule="auto"/>
              <w:rPr>
                <w:rFonts w:eastAsia="MS Mincho"/>
              </w:rPr>
            </w:pPr>
            <w:r w:rsidRPr="004304A2">
              <w:rPr>
                <w:rFonts w:eastAsia="MS Mincho"/>
              </w:rPr>
              <w:t>2.209</w:t>
            </w:r>
          </w:p>
        </w:tc>
        <w:tc>
          <w:tcPr>
            <w:tcW w:w="836" w:type="dxa"/>
          </w:tcPr>
          <w:p w14:paraId="36D9C975" w14:textId="77777777" w:rsidR="004304A2" w:rsidRPr="004304A2" w:rsidRDefault="004304A2" w:rsidP="004304A2">
            <w:pPr>
              <w:tabs>
                <w:tab w:val="left" w:pos="1140"/>
              </w:tabs>
              <w:spacing w:after="200" w:line="276" w:lineRule="auto"/>
              <w:rPr>
                <w:rFonts w:eastAsia="MS Mincho"/>
              </w:rPr>
            </w:pPr>
            <w:r w:rsidRPr="004304A2">
              <w:rPr>
                <w:rFonts w:eastAsia="MS Mincho"/>
              </w:rPr>
              <w:t>1</w:t>
            </w:r>
          </w:p>
        </w:tc>
        <w:tc>
          <w:tcPr>
            <w:tcW w:w="1157" w:type="dxa"/>
          </w:tcPr>
          <w:p w14:paraId="5C125835" w14:textId="77777777" w:rsidR="004304A2" w:rsidRPr="004304A2" w:rsidRDefault="004304A2" w:rsidP="004304A2">
            <w:pPr>
              <w:tabs>
                <w:tab w:val="left" w:pos="1140"/>
              </w:tabs>
              <w:spacing w:after="200" w:line="276" w:lineRule="auto"/>
              <w:rPr>
                <w:rFonts w:eastAsia="MS Mincho"/>
              </w:rPr>
            </w:pPr>
            <w:r w:rsidRPr="004304A2">
              <w:rPr>
                <w:rFonts w:eastAsia="MS Mincho"/>
              </w:rPr>
              <w:t>144.000</w:t>
            </w:r>
          </w:p>
        </w:tc>
        <w:tc>
          <w:tcPr>
            <w:tcW w:w="1193" w:type="dxa"/>
          </w:tcPr>
          <w:p w14:paraId="46CEC6C4" w14:textId="77777777" w:rsidR="004304A2" w:rsidRPr="004304A2" w:rsidRDefault="004304A2" w:rsidP="004304A2">
            <w:pPr>
              <w:tabs>
                <w:tab w:val="left" w:pos="1140"/>
              </w:tabs>
              <w:spacing w:after="200" w:line="276" w:lineRule="auto"/>
              <w:rPr>
                <w:rFonts w:eastAsia="MS Mincho"/>
              </w:rPr>
            </w:pPr>
            <w:r w:rsidRPr="004304A2">
              <w:rPr>
                <w:rFonts w:eastAsia="MS Mincho"/>
              </w:rPr>
              <w:t>0.139</w:t>
            </w:r>
          </w:p>
        </w:tc>
        <w:tc>
          <w:tcPr>
            <w:tcW w:w="1260" w:type="dxa"/>
          </w:tcPr>
          <w:p w14:paraId="05AC1B0F" w14:textId="77777777" w:rsidR="004304A2" w:rsidRPr="004304A2" w:rsidRDefault="004304A2" w:rsidP="004304A2">
            <w:pPr>
              <w:tabs>
                <w:tab w:val="left" w:pos="1140"/>
              </w:tabs>
              <w:spacing w:after="200" w:line="276" w:lineRule="auto"/>
              <w:rPr>
                <w:rFonts w:eastAsia="MS Mincho"/>
              </w:rPr>
            </w:pPr>
            <w:r w:rsidRPr="004304A2">
              <w:rPr>
                <w:rFonts w:eastAsia="MS Mincho"/>
              </w:rPr>
              <w:t>0.015</w:t>
            </w:r>
          </w:p>
        </w:tc>
      </w:tr>
      <w:tr w:rsidR="004304A2" w:rsidRPr="004304A2" w14:paraId="530285EB" w14:textId="77777777" w:rsidTr="00C93D65">
        <w:tc>
          <w:tcPr>
            <w:tcW w:w="1710" w:type="dxa"/>
            <w:vMerge w:val="restart"/>
          </w:tcPr>
          <w:p w14:paraId="4F052501" w14:textId="77777777" w:rsidR="004304A2" w:rsidRPr="004304A2" w:rsidRDefault="004304A2" w:rsidP="004304A2">
            <w:pPr>
              <w:tabs>
                <w:tab w:val="left" w:pos="1140"/>
              </w:tabs>
              <w:spacing w:after="200" w:line="276" w:lineRule="auto"/>
              <w:rPr>
                <w:rFonts w:eastAsia="MS Mincho"/>
              </w:rPr>
            </w:pPr>
            <w:r w:rsidRPr="004304A2">
              <w:rPr>
                <w:rFonts w:eastAsia="MS Mincho"/>
              </w:rPr>
              <w:t>Third</w:t>
            </w:r>
          </w:p>
        </w:tc>
        <w:tc>
          <w:tcPr>
            <w:tcW w:w="1170" w:type="dxa"/>
          </w:tcPr>
          <w:p w14:paraId="13697660" w14:textId="77777777" w:rsidR="004304A2" w:rsidRPr="004304A2" w:rsidRDefault="004304A2" w:rsidP="004304A2">
            <w:pPr>
              <w:tabs>
                <w:tab w:val="left" w:pos="1140"/>
              </w:tabs>
              <w:spacing w:after="200" w:line="276" w:lineRule="auto"/>
              <w:rPr>
                <w:rFonts w:eastAsia="MS Mincho"/>
              </w:rPr>
            </w:pPr>
            <w:r w:rsidRPr="004304A2">
              <w:rPr>
                <w:rFonts w:eastAsia="MS Mincho"/>
              </w:rPr>
              <w:t xml:space="preserve">Math </w:t>
            </w:r>
          </w:p>
        </w:tc>
        <w:tc>
          <w:tcPr>
            <w:tcW w:w="1619" w:type="dxa"/>
          </w:tcPr>
          <w:p w14:paraId="4FEF00A3" w14:textId="77777777" w:rsidR="004304A2" w:rsidRPr="004304A2" w:rsidRDefault="004304A2" w:rsidP="004304A2">
            <w:pPr>
              <w:tabs>
                <w:tab w:val="left" w:pos="1140"/>
              </w:tabs>
              <w:spacing w:after="200" w:line="276" w:lineRule="auto"/>
              <w:rPr>
                <w:rFonts w:eastAsia="MS Mincho"/>
              </w:rPr>
            </w:pPr>
            <w:r w:rsidRPr="004304A2">
              <w:rPr>
                <w:rFonts w:eastAsia="MS Mincho"/>
              </w:rPr>
              <w:t>2017 vs. 2017</w:t>
            </w:r>
          </w:p>
        </w:tc>
        <w:tc>
          <w:tcPr>
            <w:tcW w:w="1014" w:type="dxa"/>
          </w:tcPr>
          <w:p w14:paraId="1EF85D29" w14:textId="77777777" w:rsidR="004304A2" w:rsidRPr="004304A2" w:rsidRDefault="004304A2" w:rsidP="004304A2">
            <w:pPr>
              <w:tabs>
                <w:tab w:val="left" w:pos="1140"/>
              </w:tabs>
              <w:spacing w:after="200" w:line="276" w:lineRule="auto"/>
              <w:rPr>
                <w:rFonts w:eastAsia="MS Mincho"/>
              </w:rPr>
            </w:pPr>
            <w:r w:rsidRPr="004304A2">
              <w:rPr>
                <w:rFonts w:eastAsia="MS Mincho"/>
              </w:rPr>
              <w:t>0.971</w:t>
            </w:r>
          </w:p>
        </w:tc>
        <w:tc>
          <w:tcPr>
            <w:tcW w:w="1021" w:type="dxa"/>
          </w:tcPr>
          <w:p w14:paraId="391AAF9B" w14:textId="77777777" w:rsidR="004304A2" w:rsidRPr="004304A2" w:rsidRDefault="004304A2" w:rsidP="004304A2">
            <w:pPr>
              <w:tabs>
                <w:tab w:val="left" w:pos="1140"/>
              </w:tabs>
              <w:spacing w:after="200" w:line="276" w:lineRule="auto"/>
              <w:rPr>
                <w:rFonts w:eastAsia="MS Mincho"/>
              </w:rPr>
            </w:pPr>
            <w:r w:rsidRPr="004304A2">
              <w:rPr>
                <w:rFonts w:eastAsia="MS Mincho"/>
              </w:rPr>
              <w:t>1.634</w:t>
            </w:r>
          </w:p>
        </w:tc>
        <w:tc>
          <w:tcPr>
            <w:tcW w:w="836" w:type="dxa"/>
          </w:tcPr>
          <w:p w14:paraId="4FCFB29C" w14:textId="77777777" w:rsidR="004304A2" w:rsidRPr="004304A2" w:rsidRDefault="004304A2" w:rsidP="004304A2">
            <w:pPr>
              <w:tabs>
                <w:tab w:val="left" w:pos="1140"/>
              </w:tabs>
              <w:spacing w:after="200" w:line="276" w:lineRule="auto"/>
              <w:rPr>
                <w:rFonts w:eastAsia="MS Mincho"/>
              </w:rPr>
            </w:pPr>
            <w:r w:rsidRPr="004304A2">
              <w:rPr>
                <w:rFonts w:eastAsia="MS Mincho"/>
              </w:rPr>
              <w:t>1</w:t>
            </w:r>
          </w:p>
        </w:tc>
        <w:tc>
          <w:tcPr>
            <w:tcW w:w="1157" w:type="dxa"/>
          </w:tcPr>
          <w:p w14:paraId="6E03FAB0" w14:textId="77777777" w:rsidR="004304A2" w:rsidRPr="004304A2" w:rsidRDefault="004304A2" w:rsidP="004304A2">
            <w:pPr>
              <w:tabs>
                <w:tab w:val="left" w:pos="1140"/>
              </w:tabs>
              <w:spacing w:after="200" w:line="276" w:lineRule="auto"/>
              <w:rPr>
                <w:rFonts w:eastAsia="MS Mincho"/>
              </w:rPr>
            </w:pPr>
            <w:r w:rsidRPr="004304A2">
              <w:rPr>
                <w:rFonts w:eastAsia="MS Mincho"/>
              </w:rPr>
              <w:t>54.000</w:t>
            </w:r>
          </w:p>
        </w:tc>
        <w:tc>
          <w:tcPr>
            <w:tcW w:w="1193" w:type="dxa"/>
          </w:tcPr>
          <w:p w14:paraId="29B520FC" w14:textId="77777777" w:rsidR="004304A2" w:rsidRPr="004304A2" w:rsidRDefault="004304A2" w:rsidP="004304A2">
            <w:pPr>
              <w:tabs>
                <w:tab w:val="left" w:pos="1140"/>
              </w:tabs>
              <w:spacing w:after="200" w:line="276" w:lineRule="auto"/>
              <w:rPr>
                <w:rFonts w:eastAsia="MS Mincho"/>
              </w:rPr>
            </w:pPr>
            <w:r w:rsidRPr="004304A2">
              <w:rPr>
                <w:rFonts w:eastAsia="MS Mincho"/>
              </w:rPr>
              <w:t>0.207</w:t>
            </w:r>
          </w:p>
        </w:tc>
        <w:tc>
          <w:tcPr>
            <w:tcW w:w="1260" w:type="dxa"/>
          </w:tcPr>
          <w:p w14:paraId="24BF1E84" w14:textId="77777777" w:rsidR="004304A2" w:rsidRPr="004304A2" w:rsidRDefault="004304A2" w:rsidP="004304A2">
            <w:pPr>
              <w:tabs>
                <w:tab w:val="left" w:pos="1140"/>
              </w:tabs>
              <w:spacing w:after="200" w:line="276" w:lineRule="auto"/>
              <w:rPr>
                <w:rFonts w:eastAsia="MS Mincho"/>
              </w:rPr>
            </w:pPr>
            <w:r w:rsidRPr="004304A2">
              <w:rPr>
                <w:rFonts w:eastAsia="MS Mincho"/>
              </w:rPr>
              <w:t>0.029</w:t>
            </w:r>
          </w:p>
        </w:tc>
      </w:tr>
      <w:tr w:rsidR="004304A2" w:rsidRPr="004304A2" w14:paraId="3916FCF2" w14:textId="77777777" w:rsidTr="00C93D65">
        <w:tc>
          <w:tcPr>
            <w:tcW w:w="1710" w:type="dxa"/>
            <w:vMerge/>
          </w:tcPr>
          <w:p w14:paraId="22D86BA7" w14:textId="77777777" w:rsidR="004304A2" w:rsidRPr="004304A2" w:rsidRDefault="004304A2" w:rsidP="004304A2">
            <w:pPr>
              <w:tabs>
                <w:tab w:val="left" w:pos="1140"/>
              </w:tabs>
              <w:spacing w:after="200" w:line="276" w:lineRule="auto"/>
              <w:rPr>
                <w:rFonts w:eastAsia="MS Mincho"/>
              </w:rPr>
            </w:pPr>
          </w:p>
        </w:tc>
        <w:tc>
          <w:tcPr>
            <w:tcW w:w="1170" w:type="dxa"/>
          </w:tcPr>
          <w:p w14:paraId="63A6B2FE" w14:textId="77777777" w:rsidR="004304A2" w:rsidRPr="004304A2" w:rsidRDefault="004304A2" w:rsidP="004304A2">
            <w:pPr>
              <w:tabs>
                <w:tab w:val="left" w:pos="1140"/>
              </w:tabs>
              <w:spacing w:after="200" w:line="276" w:lineRule="auto"/>
              <w:rPr>
                <w:rFonts w:eastAsia="MS Mincho"/>
              </w:rPr>
            </w:pPr>
            <w:r w:rsidRPr="004304A2">
              <w:rPr>
                <w:rFonts w:eastAsia="MS Mincho"/>
              </w:rPr>
              <w:t>Reading</w:t>
            </w:r>
          </w:p>
        </w:tc>
        <w:tc>
          <w:tcPr>
            <w:tcW w:w="1619" w:type="dxa"/>
          </w:tcPr>
          <w:p w14:paraId="0D2DA580" w14:textId="77777777" w:rsidR="004304A2" w:rsidRPr="004304A2" w:rsidRDefault="004304A2" w:rsidP="004304A2">
            <w:pPr>
              <w:tabs>
                <w:tab w:val="left" w:pos="1140"/>
              </w:tabs>
              <w:spacing w:after="200" w:line="276" w:lineRule="auto"/>
              <w:rPr>
                <w:rFonts w:eastAsia="MS Mincho"/>
              </w:rPr>
            </w:pPr>
            <w:r w:rsidRPr="004304A2">
              <w:rPr>
                <w:rFonts w:eastAsia="MS Mincho"/>
              </w:rPr>
              <w:t>2017 vs. 2017</w:t>
            </w:r>
          </w:p>
        </w:tc>
        <w:tc>
          <w:tcPr>
            <w:tcW w:w="1014" w:type="dxa"/>
          </w:tcPr>
          <w:p w14:paraId="2B32D034" w14:textId="77777777" w:rsidR="004304A2" w:rsidRPr="004304A2" w:rsidRDefault="004304A2" w:rsidP="004304A2">
            <w:pPr>
              <w:tabs>
                <w:tab w:val="left" w:pos="1140"/>
              </w:tabs>
              <w:spacing w:after="200" w:line="276" w:lineRule="auto"/>
              <w:rPr>
                <w:rFonts w:eastAsia="MS Mincho"/>
              </w:rPr>
            </w:pPr>
            <w:r w:rsidRPr="004304A2">
              <w:rPr>
                <w:rFonts w:eastAsia="MS Mincho"/>
              </w:rPr>
              <w:t>0.977</w:t>
            </w:r>
          </w:p>
        </w:tc>
        <w:tc>
          <w:tcPr>
            <w:tcW w:w="1021" w:type="dxa"/>
          </w:tcPr>
          <w:p w14:paraId="576A3747" w14:textId="77777777" w:rsidR="004304A2" w:rsidRPr="004304A2" w:rsidRDefault="004304A2" w:rsidP="004304A2">
            <w:pPr>
              <w:tabs>
                <w:tab w:val="left" w:pos="1140"/>
              </w:tabs>
              <w:spacing w:after="200" w:line="276" w:lineRule="auto"/>
              <w:rPr>
                <w:rFonts w:eastAsia="MS Mincho"/>
              </w:rPr>
            </w:pPr>
            <w:r w:rsidRPr="004304A2">
              <w:rPr>
                <w:rFonts w:eastAsia="MS Mincho"/>
              </w:rPr>
              <w:t>1.289</w:t>
            </w:r>
          </w:p>
        </w:tc>
        <w:tc>
          <w:tcPr>
            <w:tcW w:w="836" w:type="dxa"/>
          </w:tcPr>
          <w:p w14:paraId="20D77736" w14:textId="77777777" w:rsidR="004304A2" w:rsidRPr="004304A2" w:rsidRDefault="004304A2" w:rsidP="004304A2">
            <w:pPr>
              <w:tabs>
                <w:tab w:val="left" w:pos="1140"/>
              </w:tabs>
              <w:spacing w:after="200" w:line="276" w:lineRule="auto"/>
              <w:rPr>
                <w:rFonts w:eastAsia="MS Mincho"/>
              </w:rPr>
            </w:pPr>
            <w:r w:rsidRPr="004304A2">
              <w:rPr>
                <w:rFonts w:eastAsia="MS Mincho"/>
              </w:rPr>
              <w:t>1</w:t>
            </w:r>
          </w:p>
        </w:tc>
        <w:tc>
          <w:tcPr>
            <w:tcW w:w="1157" w:type="dxa"/>
          </w:tcPr>
          <w:p w14:paraId="050512FC" w14:textId="77777777" w:rsidR="004304A2" w:rsidRPr="004304A2" w:rsidRDefault="004304A2" w:rsidP="004304A2">
            <w:pPr>
              <w:tabs>
                <w:tab w:val="left" w:pos="1140"/>
              </w:tabs>
              <w:spacing w:after="200" w:line="276" w:lineRule="auto"/>
              <w:rPr>
                <w:rFonts w:eastAsia="MS Mincho"/>
              </w:rPr>
            </w:pPr>
            <w:r w:rsidRPr="004304A2">
              <w:rPr>
                <w:rFonts w:eastAsia="MS Mincho"/>
              </w:rPr>
              <w:t>55.000</w:t>
            </w:r>
          </w:p>
        </w:tc>
        <w:tc>
          <w:tcPr>
            <w:tcW w:w="1193" w:type="dxa"/>
          </w:tcPr>
          <w:p w14:paraId="2EB60226" w14:textId="77777777" w:rsidR="004304A2" w:rsidRPr="004304A2" w:rsidRDefault="004304A2" w:rsidP="004304A2">
            <w:pPr>
              <w:tabs>
                <w:tab w:val="left" w:pos="1140"/>
              </w:tabs>
              <w:spacing w:after="200" w:line="276" w:lineRule="auto"/>
              <w:rPr>
                <w:rFonts w:eastAsia="MS Mincho"/>
              </w:rPr>
            </w:pPr>
            <w:r w:rsidRPr="004304A2">
              <w:rPr>
                <w:rFonts w:eastAsia="MS Mincho"/>
              </w:rPr>
              <w:t>0.261</w:t>
            </w:r>
          </w:p>
        </w:tc>
        <w:tc>
          <w:tcPr>
            <w:tcW w:w="1260" w:type="dxa"/>
          </w:tcPr>
          <w:p w14:paraId="177D32EA" w14:textId="77777777" w:rsidR="004304A2" w:rsidRPr="004304A2" w:rsidRDefault="004304A2" w:rsidP="004304A2">
            <w:pPr>
              <w:tabs>
                <w:tab w:val="left" w:pos="1140"/>
              </w:tabs>
              <w:spacing w:after="200" w:line="276" w:lineRule="auto"/>
              <w:rPr>
                <w:rFonts w:eastAsia="MS Mincho"/>
              </w:rPr>
            </w:pPr>
            <w:r w:rsidRPr="004304A2">
              <w:rPr>
                <w:rFonts w:eastAsia="MS Mincho"/>
              </w:rPr>
              <w:t>0.023</w:t>
            </w:r>
          </w:p>
        </w:tc>
      </w:tr>
      <w:tr w:rsidR="004304A2" w:rsidRPr="004304A2" w14:paraId="56C0E9F5" w14:textId="77777777" w:rsidTr="00C93D65">
        <w:tc>
          <w:tcPr>
            <w:tcW w:w="1710" w:type="dxa"/>
            <w:vMerge w:val="restart"/>
          </w:tcPr>
          <w:p w14:paraId="41F2A3C2" w14:textId="77777777" w:rsidR="004304A2" w:rsidRPr="004304A2" w:rsidRDefault="004304A2" w:rsidP="004304A2">
            <w:pPr>
              <w:tabs>
                <w:tab w:val="left" w:pos="1140"/>
              </w:tabs>
              <w:spacing w:after="200" w:line="276" w:lineRule="auto"/>
              <w:rPr>
                <w:rFonts w:eastAsia="MS Mincho"/>
              </w:rPr>
            </w:pPr>
            <w:r w:rsidRPr="004304A2">
              <w:rPr>
                <w:rFonts w:eastAsia="MS Mincho"/>
              </w:rPr>
              <w:t xml:space="preserve">Fourth </w:t>
            </w:r>
          </w:p>
        </w:tc>
        <w:tc>
          <w:tcPr>
            <w:tcW w:w="1170" w:type="dxa"/>
          </w:tcPr>
          <w:p w14:paraId="14812D22" w14:textId="77777777" w:rsidR="004304A2" w:rsidRPr="004304A2" w:rsidRDefault="004304A2" w:rsidP="004304A2">
            <w:pPr>
              <w:tabs>
                <w:tab w:val="left" w:pos="1140"/>
              </w:tabs>
              <w:spacing w:after="200" w:line="276" w:lineRule="auto"/>
              <w:rPr>
                <w:rFonts w:eastAsia="MS Mincho"/>
              </w:rPr>
            </w:pPr>
            <w:r w:rsidRPr="004304A2">
              <w:rPr>
                <w:rFonts w:eastAsia="MS Mincho"/>
              </w:rPr>
              <w:t xml:space="preserve">Math </w:t>
            </w:r>
          </w:p>
        </w:tc>
        <w:tc>
          <w:tcPr>
            <w:tcW w:w="1619" w:type="dxa"/>
          </w:tcPr>
          <w:p w14:paraId="3AAD3B28" w14:textId="77777777" w:rsidR="004304A2" w:rsidRPr="004304A2" w:rsidRDefault="004304A2" w:rsidP="004304A2">
            <w:pPr>
              <w:tabs>
                <w:tab w:val="left" w:pos="1140"/>
              </w:tabs>
              <w:spacing w:after="200" w:line="276" w:lineRule="auto"/>
              <w:rPr>
                <w:rFonts w:eastAsia="MS Mincho"/>
              </w:rPr>
            </w:pPr>
            <w:r w:rsidRPr="004304A2">
              <w:rPr>
                <w:rFonts w:eastAsia="MS Mincho"/>
              </w:rPr>
              <w:t>2017 vs. 2017</w:t>
            </w:r>
          </w:p>
        </w:tc>
        <w:tc>
          <w:tcPr>
            <w:tcW w:w="1014" w:type="dxa"/>
          </w:tcPr>
          <w:p w14:paraId="22C34427" w14:textId="77777777" w:rsidR="004304A2" w:rsidRPr="004304A2" w:rsidRDefault="004304A2" w:rsidP="004304A2">
            <w:pPr>
              <w:tabs>
                <w:tab w:val="left" w:pos="1140"/>
              </w:tabs>
              <w:spacing w:after="200" w:line="276" w:lineRule="auto"/>
              <w:rPr>
                <w:rFonts w:eastAsia="MS Mincho"/>
              </w:rPr>
            </w:pPr>
            <w:r w:rsidRPr="004304A2">
              <w:rPr>
                <w:rFonts w:eastAsia="MS Mincho"/>
              </w:rPr>
              <w:t>0.981</w:t>
            </w:r>
          </w:p>
        </w:tc>
        <w:tc>
          <w:tcPr>
            <w:tcW w:w="1021" w:type="dxa"/>
          </w:tcPr>
          <w:p w14:paraId="381A3EBF" w14:textId="77777777" w:rsidR="004304A2" w:rsidRPr="004304A2" w:rsidRDefault="004304A2" w:rsidP="004304A2">
            <w:pPr>
              <w:tabs>
                <w:tab w:val="left" w:pos="1140"/>
              </w:tabs>
              <w:spacing w:after="200" w:line="276" w:lineRule="auto"/>
              <w:rPr>
                <w:rFonts w:eastAsia="MS Mincho"/>
              </w:rPr>
            </w:pPr>
            <w:r w:rsidRPr="004304A2">
              <w:rPr>
                <w:rFonts w:eastAsia="MS Mincho"/>
              </w:rPr>
              <w:t>1.539</w:t>
            </w:r>
          </w:p>
        </w:tc>
        <w:tc>
          <w:tcPr>
            <w:tcW w:w="836" w:type="dxa"/>
          </w:tcPr>
          <w:p w14:paraId="61E5F02A" w14:textId="77777777" w:rsidR="004304A2" w:rsidRPr="004304A2" w:rsidRDefault="004304A2" w:rsidP="004304A2">
            <w:pPr>
              <w:tabs>
                <w:tab w:val="left" w:pos="1140"/>
              </w:tabs>
              <w:spacing w:after="200" w:line="276" w:lineRule="auto"/>
              <w:rPr>
                <w:rFonts w:eastAsia="MS Mincho"/>
              </w:rPr>
            </w:pPr>
            <w:r w:rsidRPr="004304A2">
              <w:rPr>
                <w:rFonts w:eastAsia="MS Mincho"/>
              </w:rPr>
              <w:t>1</w:t>
            </w:r>
          </w:p>
        </w:tc>
        <w:tc>
          <w:tcPr>
            <w:tcW w:w="1157" w:type="dxa"/>
          </w:tcPr>
          <w:p w14:paraId="4D3B5FBC" w14:textId="77777777" w:rsidR="004304A2" w:rsidRPr="004304A2" w:rsidRDefault="004304A2" w:rsidP="004304A2">
            <w:pPr>
              <w:tabs>
                <w:tab w:val="left" w:pos="1140"/>
              </w:tabs>
              <w:spacing w:after="200" w:line="276" w:lineRule="auto"/>
              <w:rPr>
                <w:rFonts w:eastAsia="MS Mincho"/>
              </w:rPr>
            </w:pPr>
            <w:r w:rsidRPr="004304A2">
              <w:rPr>
                <w:rFonts w:eastAsia="MS Mincho"/>
              </w:rPr>
              <w:t>78.000</w:t>
            </w:r>
          </w:p>
        </w:tc>
        <w:tc>
          <w:tcPr>
            <w:tcW w:w="1193" w:type="dxa"/>
          </w:tcPr>
          <w:p w14:paraId="79D49F63" w14:textId="77777777" w:rsidR="004304A2" w:rsidRPr="004304A2" w:rsidRDefault="004304A2" w:rsidP="004304A2">
            <w:pPr>
              <w:tabs>
                <w:tab w:val="left" w:pos="1140"/>
              </w:tabs>
              <w:spacing w:after="200" w:line="276" w:lineRule="auto"/>
              <w:rPr>
                <w:rFonts w:eastAsia="MS Mincho"/>
              </w:rPr>
            </w:pPr>
            <w:r w:rsidRPr="004304A2">
              <w:rPr>
                <w:rFonts w:eastAsia="MS Mincho"/>
              </w:rPr>
              <w:t>0.219</w:t>
            </w:r>
          </w:p>
        </w:tc>
        <w:tc>
          <w:tcPr>
            <w:tcW w:w="1260" w:type="dxa"/>
          </w:tcPr>
          <w:p w14:paraId="6CF38EF9" w14:textId="77777777" w:rsidR="004304A2" w:rsidRPr="004304A2" w:rsidRDefault="004304A2" w:rsidP="004304A2">
            <w:pPr>
              <w:tabs>
                <w:tab w:val="left" w:pos="1140"/>
              </w:tabs>
              <w:spacing w:after="200" w:line="276" w:lineRule="auto"/>
              <w:rPr>
                <w:rFonts w:eastAsia="MS Mincho"/>
              </w:rPr>
            </w:pPr>
            <w:r w:rsidRPr="004304A2">
              <w:rPr>
                <w:rFonts w:eastAsia="MS Mincho"/>
              </w:rPr>
              <w:t>0.019</w:t>
            </w:r>
          </w:p>
        </w:tc>
      </w:tr>
      <w:tr w:rsidR="004304A2" w:rsidRPr="004304A2" w14:paraId="37540A4E" w14:textId="77777777" w:rsidTr="00C93D65">
        <w:tc>
          <w:tcPr>
            <w:tcW w:w="1710" w:type="dxa"/>
            <w:vMerge/>
          </w:tcPr>
          <w:p w14:paraId="41DC2D74" w14:textId="77777777" w:rsidR="004304A2" w:rsidRPr="004304A2" w:rsidRDefault="004304A2" w:rsidP="004304A2">
            <w:pPr>
              <w:tabs>
                <w:tab w:val="left" w:pos="1140"/>
              </w:tabs>
              <w:spacing w:after="200" w:line="276" w:lineRule="auto"/>
              <w:rPr>
                <w:rFonts w:eastAsia="MS Mincho"/>
              </w:rPr>
            </w:pPr>
          </w:p>
        </w:tc>
        <w:tc>
          <w:tcPr>
            <w:tcW w:w="1170" w:type="dxa"/>
          </w:tcPr>
          <w:p w14:paraId="36C87FA0" w14:textId="77777777" w:rsidR="004304A2" w:rsidRPr="004304A2" w:rsidRDefault="004304A2" w:rsidP="004304A2">
            <w:pPr>
              <w:tabs>
                <w:tab w:val="left" w:pos="1140"/>
              </w:tabs>
              <w:spacing w:after="200" w:line="276" w:lineRule="auto"/>
              <w:rPr>
                <w:rFonts w:eastAsia="MS Mincho"/>
              </w:rPr>
            </w:pPr>
            <w:r w:rsidRPr="004304A2">
              <w:rPr>
                <w:rFonts w:eastAsia="MS Mincho"/>
              </w:rPr>
              <w:t>Reading</w:t>
            </w:r>
          </w:p>
        </w:tc>
        <w:tc>
          <w:tcPr>
            <w:tcW w:w="1619" w:type="dxa"/>
          </w:tcPr>
          <w:p w14:paraId="44D4F7B7" w14:textId="77777777" w:rsidR="004304A2" w:rsidRPr="004304A2" w:rsidRDefault="004304A2" w:rsidP="004304A2">
            <w:pPr>
              <w:tabs>
                <w:tab w:val="left" w:pos="1140"/>
              </w:tabs>
              <w:spacing w:after="200" w:line="276" w:lineRule="auto"/>
              <w:rPr>
                <w:rFonts w:eastAsia="MS Mincho"/>
              </w:rPr>
            </w:pPr>
            <w:r w:rsidRPr="004304A2">
              <w:rPr>
                <w:rFonts w:eastAsia="MS Mincho"/>
              </w:rPr>
              <w:t>2017 vs. 2017</w:t>
            </w:r>
          </w:p>
        </w:tc>
        <w:tc>
          <w:tcPr>
            <w:tcW w:w="1014" w:type="dxa"/>
          </w:tcPr>
          <w:p w14:paraId="392FF21C" w14:textId="77777777" w:rsidR="004304A2" w:rsidRPr="004304A2" w:rsidRDefault="004304A2" w:rsidP="004304A2">
            <w:pPr>
              <w:tabs>
                <w:tab w:val="left" w:pos="1140"/>
              </w:tabs>
              <w:spacing w:after="200" w:line="276" w:lineRule="auto"/>
              <w:rPr>
                <w:rFonts w:eastAsia="MS Mincho"/>
              </w:rPr>
            </w:pPr>
            <w:r w:rsidRPr="004304A2">
              <w:rPr>
                <w:rFonts w:eastAsia="MS Mincho"/>
              </w:rPr>
              <w:t>0.995</w:t>
            </w:r>
          </w:p>
        </w:tc>
        <w:tc>
          <w:tcPr>
            <w:tcW w:w="1021" w:type="dxa"/>
          </w:tcPr>
          <w:p w14:paraId="7F67F2B6" w14:textId="77777777" w:rsidR="004304A2" w:rsidRPr="004304A2" w:rsidRDefault="004304A2" w:rsidP="004304A2">
            <w:pPr>
              <w:tabs>
                <w:tab w:val="left" w:pos="1140"/>
              </w:tabs>
              <w:spacing w:after="200" w:line="276" w:lineRule="auto"/>
              <w:rPr>
                <w:rFonts w:eastAsia="MS Mincho"/>
              </w:rPr>
            </w:pPr>
            <w:r w:rsidRPr="004304A2">
              <w:rPr>
                <w:rFonts w:eastAsia="MS Mincho"/>
              </w:rPr>
              <w:t>0.391</w:t>
            </w:r>
          </w:p>
        </w:tc>
        <w:tc>
          <w:tcPr>
            <w:tcW w:w="836" w:type="dxa"/>
          </w:tcPr>
          <w:p w14:paraId="51D72874" w14:textId="77777777" w:rsidR="004304A2" w:rsidRPr="004304A2" w:rsidRDefault="004304A2" w:rsidP="004304A2">
            <w:pPr>
              <w:tabs>
                <w:tab w:val="left" w:pos="1140"/>
              </w:tabs>
              <w:spacing w:after="200" w:line="276" w:lineRule="auto"/>
              <w:rPr>
                <w:rFonts w:eastAsia="MS Mincho"/>
              </w:rPr>
            </w:pPr>
            <w:r w:rsidRPr="004304A2">
              <w:rPr>
                <w:rFonts w:eastAsia="MS Mincho"/>
              </w:rPr>
              <w:t>1</w:t>
            </w:r>
          </w:p>
        </w:tc>
        <w:tc>
          <w:tcPr>
            <w:tcW w:w="1157" w:type="dxa"/>
          </w:tcPr>
          <w:p w14:paraId="4637B931" w14:textId="77777777" w:rsidR="004304A2" w:rsidRPr="004304A2" w:rsidRDefault="004304A2" w:rsidP="004304A2">
            <w:pPr>
              <w:tabs>
                <w:tab w:val="left" w:pos="1140"/>
              </w:tabs>
              <w:spacing w:after="200" w:line="276" w:lineRule="auto"/>
              <w:rPr>
                <w:rFonts w:eastAsia="MS Mincho"/>
              </w:rPr>
            </w:pPr>
            <w:r w:rsidRPr="004304A2">
              <w:rPr>
                <w:rFonts w:eastAsia="MS Mincho"/>
              </w:rPr>
              <w:t>78.000</w:t>
            </w:r>
          </w:p>
        </w:tc>
        <w:tc>
          <w:tcPr>
            <w:tcW w:w="1193" w:type="dxa"/>
          </w:tcPr>
          <w:p w14:paraId="62C8587A" w14:textId="77777777" w:rsidR="004304A2" w:rsidRPr="004304A2" w:rsidRDefault="004304A2" w:rsidP="004304A2">
            <w:pPr>
              <w:tabs>
                <w:tab w:val="left" w:pos="1140"/>
              </w:tabs>
              <w:spacing w:after="200" w:line="276" w:lineRule="auto"/>
              <w:rPr>
                <w:rFonts w:eastAsia="MS Mincho"/>
              </w:rPr>
            </w:pPr>
            <w:r w:rsidRPr="004304A2">
              <w:rPr>
                <w:rFonts w:eastAsia="MS Mincho"/>
              </w:rPr>
              <w:t>0.534</w:t>
            </w:r>
          </w:p>
        </w:tc>
        <w:tc>
          <w:tcPr>
            <w:tcW w:w="1260" w:type="dxa"/>
          </w:tcPr>
          <w:p w14:paraId="3AF72BB1" w14:textId="77777777" w:rsidR="004304A2" w:rsidRPr="004304A2" w:rsidRDefault="004304A2" w:rsidP="004304A2">
            <w:pPr>
              <w:tabs>
                <w:tab w:val="left" w:pos="1140"/>
              </w:tabs>
              <w:spacing w:after="200" w:line="276" w:lineRule="auto"/>
              <w:rPr>
                <w:rFonts w:eastAsia="MS Mincho"/>
              </w:rPr>
            </w:pPr>
            <w:r w:rsidRPr="004304A2">
              <w:rPr>
                <w:rFonts w:eastAsia="MS Mincho"/>
              </w:rPr>
              <w:t>0.005</w:t>
            </w:r>
          </w:p>
        </w:tc>
      </w:tr>
    </w:tbl>
    <w:p w14:paraId="2E1C267B" w14:textId="77777777" w:rsidR="004304A2" w:rsidRPr="004304A2" w:rsidRDefault="004304A2" w:rsidP="004304A2">
      <w:pPr>
        <w:tabs>
          <w:tab w:val="left" w:pos="1140"/>
        </w:tabs>
        <w:spacing w:after="200" w:line="276" w:lineRule="auto"/>
        <w:rPr>
          <w:rFonts w:eastAsia="Calibri"/>
          <w:i/>
        </w:rPr>
      </w:pPr>
      <w:r w:rsidRPr="004304A2">
        <w:rPr>
          <w:rFonts w:eastAsia="Calibri"/>
        </w:rPr>
        <w:t>(*)</w:t>
      </w:r>
      <w:r w:rsidRPr="004304A2">
        <w:rPr>
          <w:rFonts w:eastAsia="Calibri"/>
          <w:i/>
        </w:rPr>
        <w:t xml:space="preserve"> Significant at  a= 0.05</w:t>
      </w:r>
    </w:p>
    <w:p w14:paraId="08FD15DA" w14:textId="77777777" w:rsidR="004304A2" w:rsidRPr="004304A2" w:rsidRDefault="004304A2" w:rsidP="004304A2">
      <w:pPr>
        <w:tabs>
          <w:tab w:val="left" w:pos="1140"/>
        </w:tabs>
        <w:spacing w:after="200" w:line="276" w:lineRule="auto"/>
        <w:rPr>
          <w:rFonts w:eastAsia="Calibri"/>
        </w:rPr>
      </w:pPr>
    </w:p>
    <w:p w14:paraId="703C0583" w14:textId="77777777" w:rsidR="004304A2" w:rsidRPr="004304A2" w:rsidRDefault="004304A2" w:rsidP="004304A2">
      <w:pPr>
        <w:tabs>
          <w:tab w:val="left" w:pos="1140"/>
        </w:tabs>
        <w:spacing w:after="200" w:line="276" w:lineRule="auto"/>
        <w:rPr>
          <w:rFonts w:eastAsia="Calibri"/>
        </w:rPr>
      </w:pPr>
    </w:p>
    <w:p w14:paraId="49AC7112" w14:textId="77777777" w:rsidR="004304A2" w:rsidRPr="004304A2" w:rsidRDefault="004304A2" w:rsidP="004304A2">
      <w:pPr>
        <w:tabs>
          <w:tab w:val="left" w:pos="1140"/>
        </w:tabs>
        <w:spacing w:after="200" w:line="276" w:lineRule="auto"/>
        <w:rPr>
          <w:rFonts w:eastAsia="Calibri"/>
        </w:rPr>
      </w:pPr>
    </w:p>
    <w:p w14:paraId="777A8A64" w14:textId="77777777" w:rsidR="004304A2" w:rsidRPr="004304A2" w:rsidRDefault="004304A2" w:rsidP="004304A2">
      <w:pPr>
        <w:tabs>
          <w:tab w:val="left" w:pos="1140"/>
        </w:tabs>
        <w:spacing w:after="200" w:line="276" w:lineRule="auto"/>
        <w:rPr>
          <w:rFonts w:eastAsia="Calibri"/>
        </w:rPr>
      </w:pPr>
    </w:p>
    <w:p w14:paraId="331C09C7" w14:textId="77777777" w:rsidR="004304A2" w:rsidRPr="004304A2" w:rsidRDefault="004304A2" w:rsidP="004304A2">
      <w:pPr>
        <w:spacing w:after="160" w:line="259" w:lineRule="auto"/>
        <w:rPr>
          <w:rFonts w:eastAsia="Calibri"/>
        </w:rPr>
      </w:pPr>
      <w:r w:rsidRPr="004304A2">
        <w:rPr>
          <w:rFonts w:eastAsia="Calibri"/>
        </w:rPr>
        <w:br w:type="page"/>
      </w:r>
    </w:p>
    <w:p w14:paraId="55AFDD0D" w14:textId="77777777" w:rsidR="004304A2" w:rsidRPr="004304A2" w:rsidRDefault="004304A2" w:rsidP="004304A2">
      <w:pPr>
        <w:tabs>
          <w:tab w:val="left" w:pos="1140"/>
        </w:tabs>
        <w:spacing w:after="200" w:line="276" w:lineRule="auto"/>
        <w:rPr>
          <w:rFonts w:eastAsia="Calibri"/>
          <w:b/>
        </w:rPr>
      </w:pPr>
      <w:r w:rsidRPr="004304A2">
        <w:rPr>
          <w:rFonts w:eastAsia="Calibri"/>
          <w:b/>
        </w:rPr>
        <w:t xml:space="preserve">Table 8 </w:t>
      </w:r>
    </w:p>
    <w:p w14:paraId="56C019AF" w14:textId="77777777" w:rsidR="004304A2" w:rsidRPr="004304A2" w:rsidRDefault="004304A2" w:rsidP="004304A2">
      <w:pPr>
        <w:tabs>
          <w:tab w:val="left" w:pos="1140"/>
        </w:tabs>
        <w:spacing w:after="200" w:line="276" w:lineRule="auto"/>
        <w:rPr>
          <w:rFonts w:eastAsia="Calibri"/>
          <w:i/>
        </w:rPr>
      </w:pPr>
      <w:r w:rsidRPr="004304A2">
        <w:rPr>
          <w:rFonts w:eastAsia="Calibri"/>
          <w:i/>
        </w:rPr>
        <w:t xml:space="preserve">Summary of Between-Subjects Performance for All Grade Levels </w:t>
      </w:r>
    </w:p>
    <w:tbl>
      <w:tblPr>
        <w:tblStyle w:val="TableGrid7"/>
        <w:tblW w:w="8987"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1170"/>
        <w:gridCol w:w="1620"/>
        <w:gridCol w:w="1013"/>
        <w:gridCol w:w="1021"/>
        <w:gridCol w:w="1193"/>
        <w:gridCol w:w="1260"/>
      </w:tblGrid>
      <w:tr w:rsidR="004304A2" w:rsidRPr="004304A2" w14:paraId="3A0F49DF" w14:textId="77777777" w:rsidTr="00C93D65">
        <w:trPr>
          <w:trHeight w:val="935"/>
        </w:trPr>
        <w:tc>
          <w:tcPr>
            <w:tcW w:w="1710" w:type="dxa"/>
            <w:tcBorders>
              <w:bottom w:val="single" w:sz="4" w:space="0" w:color="auto"/>
            </w:tcBorders>
          </w:tcPr>
          <w:p w14:paraId="22A61FE0" w14:textId="77777777" w:rsidR="004304A2" w:rsidRPr="004304A2" w:rsidRDefault="004304A2" w:rsidP="004304A2">
            <w:pPr>
              <w:tabs>
                <w:tab w:val="left" w:pos="1140"/>
              </w:tabs>
              <w:spacing w:after="200" w:line="276" w:lineRule="auto"/>
              <w:rPr>
                <w:rFonts w:eastAsia="MS Mincho"/>
              </w:rPr>
            </w:pPr>
            <w:r w:rsidRPr="004304A2">
              <w:rPr>
                <w:rFonts w:eastAsia="MS Mincho"/>
              </w:rPr>
              <w:t>Grade Level</w:t>
            </w:r>
          </w:p>
        </w:tc>
        <w:tc>
          <w:tcPr>
            <w:tcW w:w="1170" w:type="dxa"/>
            <w:tcBorders>
              <w:bottom w:val="single" w:sz="4" w:space="0" w:color="auto"/>
            </w:tcBorders>
          </w:tcPr>
          <w:p w14:paraId="5A218AEC" w14:textId="77777777" w:rsidR="004304A2" w:rsidRPr="004304A2" w:rsidRDefault="004304A2" w:rsidP="004304A2">
            <w:pPr>
              <w:tabs>
                <w:tab w:val="left" w:pos="1140"/>
              </w:tabs>
              <w:spacing w:after="200" w:line="276" w:lineRule="auto"/>
              <w:rPr>
                <w:rFonts w:eastAsia="MS Mincho"/>
              </w:rPr>
            </w:pPr>
            <w:r w:rsidRPr="004304A2">
              <w:rPr>
                <w:rFonts w:eastAsia="MS Mincho"/>
              </w:rPr>
              <w:t>Subject</w:t>
            </w:r>
          </w:p>
        </w:tc>
        <w:tc>
          <w:tcPr>
            <w:tcW w:w="1620" w:type="dxa"/>
            <w:tcBorders>
              <w:bottom w:val="single" w:sz="4" w:space="0" w:color="auto"/>
            </w:tcBorders>
          </w:tcPr>
          <w:p w14:paraId="53DB6290" w14:textId="77777777" w:rsidR="004304A2" w:rsidRPr="004304A2" w:rsidRDefault="004304A2" w:rsidP="004304A2">
            <w:pPr>
              <w:tabs>
                <w:tab w:val="left" w:pos="1140"/>
              </w:tabs>
              <w:spacing w:after="200" w:line="276" w:lineRule="auto"/>
              <w:rPr>
                <w:rFonts w:eastAsia="MS Mincho"/>
              </w:rPr>
            </w:pPr>
            <w:r w:rsidRPr="004304A2">
              <w:rPr>
                <w:rFonts w:eastAsia="MS Mincho"/>
              </w:rPr>
              <w:t xml:space="preserve">Year </w:t>
            </w:r>
          </w:p>
        </w:tc>
        <w:tc>
          <w:tcPr>
            <w:tcW w:w="1013" w:type="dxa"/>
            <w:tcBorders>
              <w:bottom w:val="single" w:sz="4" w:space="0" w:color="auto"/>
            </w:tcBorders>
          </w:tcPr>
          <w:p w14:paraId="22611E8F" w14:textId="77777777" w:rsidR="004304A2" w:rsidRPr="004304A2" w:rsidRDefault="004304A2" w:rsidP="004304A2">
            <w:pPr>
              <w:tabs>
                <w:tab w:val="left" w:pos="1140"/>
              </w:tabs>
              <w:spacing w:after="200" w:line="276" w:lineRule="auto"/>
              <w:rPr>
                <w:rFonts w:eastAsia="MS Mincho"/>
              </w:rPr>
            </w:pPr>
            <w:r w:rsidRPr="004304A2">
              <w:rPr>
                <w:rFonts w:eastAsia="MS Mincho"/>
              </w:rPr>
              <w:t>df</w:t>
            </w:r>
          </w:p>
        </w:tc>
        <w:tc>
          <w:tcPr>
            <w:tcW w:w="1021" w:type="dxa"/>
            <w:tcBorders>
              <w:bottom w:val="single" w:sz="4" w:space="0" w:color="auto"/>
            </w:tcBorders>
          </w:tcPr>
          <w:p w14:paraId="02DE0B2D" w14:textId="77777777" w:rsidR="004304A2" w:rsidRPr="004304A2" w:rsidRDefault="004304A2" w:rsidP="004304A2">
            <w:pPr>
              <w:tabs>
                <w:tab w:val="left" w:pos="1140"/>
              </w:tabs>
              <w:spacing w:after="200" w:line="276" w:lineRule="auto"/>
              <w:rPr>
                <w:rFonts w:eastAsia="MS Mincho"/>
              </w:rPr>
            </w:pPr>
            <w:r w:rsidRPr="004304A2">
              <w:rPr>
                <w:rFonts w:eastAsia="MS Mincho"/>
              </w:rPr>
              <w:t>F</w:t>
            </w:r>
          </w:p>
        </w:tc>
        <w:tc>
          <w:tcPr>
            <w:tcW w:w="1193" w:type="dxa"/>
            <w:tcBorders>
              <w:bottom w:val="single" w:sz="4" w:space="0" w:color="auto"/>
            </w:tcBorders>
          </w:tcPr>
          <w:p w14:paraId="1B5F6BCE" w14:textId="77777777" w:rsidR="004304A2" w:rsidRPr="004304A2" w:rsidRDefault="004304A2" w:rsidP="004304A2">
            <w:pPr>
              <w:tabs>
                <w:tab w:val="left" w:pos="1140"/>
              </w:tabs>
              <w:spacing w:after="200" w:line="276" w:lineRule="auto"/>
              <w:rPr>
                <w:rFonts w:eastAsia="MS Mincho"/>
              </w:rPr>
            </w:pPr>
            <w:r w:rsidRPr="004304A2">
              <w:rPr>
                <w:rFonts w:eastAsia="MS Mincho"/>
              </w:rPr>
              <w:t>P</w:t>
            </w:r>
          </w:p>
        </w:tc>
        <w:tc>
          <w:tcPr>
            <w:tcW w:w="1260" w:type="dxa"/>
            <w:tcBorders>
              <w:bottom w:val="single" w:sz="4" w:space="0" w:color="auto"/>
            </w:tcBorders>
          </w:tcPr>
          <w:p w14:paraId="36B788FE" w14:textId="77777777" w:rsidR="004304A2" w:rsidRPr="004304A2" w:rsidRDefault="004304A2" w:rsidP="004304A2">
            <w:pPr>
              <w:tabs>
                <w:tab w:val="left" w:pos="1140"/>
              </w:tabs>
              <w:spacing w:after="200" w:line="276" w:lineRule="auto"/>
              <w:rPr>
                <w:rFonts w:eastAsia="MS Mincho"/>
              </w:rPr>
            </w:pPr>
            <w:r w:rsidRPr="004304A2">
              <w:rPr>
                <w:rFonts w:eastAsia="MS Mincho"/>
              </w:rPr>
              <w:t xml:space="preserve">Partial Eta Squared </w:t>
            </w:r>
          </w:p>
        </w:tc>
      </w:tr>
      <w:tr w:rsidR="004304A2" w:rsidRPr="004304A2" w14:paraId="3E8665CF" w14:textId="77777777" w:rsidTr="00C93D65">
        <w:tc>
          <w:tcPr>
            <w:tcW w:w="1710" w:type="dxa"/>
            <w:vMerge w:val="restart"/>
            <w:tcBorders>
              <w:top w:val="single" w:sz="4" w:space="0" w:color="auto"/>
            </w:tcBorders>
          </w:tcPr>
          <w:p w14:paraId="7791C26E" w14:textId="77777777" w:rsidR="004304A2" w:rsidRPr="004304A2" w:rsidRDefault="004304A2" w:rsidP="004304A2">
            <w:pPr>
              <w:tabs>
                <w:tab w:val="left" w:pos="1140"/>
              </w:tabs>
              <w:spacing w:after="200" w:line="276" w:lineRule="auto"/>
              <w:rPr>
                <w:rFonts w:eastAsia="MS Mincho"/>
              </w:rPr>
            </w:pPr>
            <w:r w:rsidRPr="004304A2">
              <w:rPr>
                <w:rFonts w:eastAsia="MS Mincho"/>
              </w:rPr>
              <w:t xml:space="preserve">Kindergarten </w:t>
            </w:r>
          </w:p>
        </w:tc>
        <w:tc>
          <w:tcPr>
            <w:tcW w:w="1170" w:type="dxa"/>
            <w:tcBorders>
              <w:top w:val="single" w:sz="4" w:space="0" w:color="auto"/>
              <w:bottom w:val="nil"/>
            </w:tcBorders>
          </w:tcPr>
          <w:p w14:paraId="2DDCEEAC" w14:textId="77777777" w:rsidR="004304A2" w:rsidRPr="004304A2" w:rsidRDefault="004304A2" w:rsidP="004304A2">
            <w:pPr>
              <w:tabs>
                <w:tab w:val="left" w:pos="1140"/>
              </w:tabs>
              <w:spacing w:after="200" w:line="276" w:lineRule="auto"/>
              <w:rPr>
                <w:rFonts w:eastAsia="MS Mincho"/>
              </w:rPr>
            </w:pPr>
            <w:r w:rsidRPr="004304A2">
              <w:rPr>
                <w:rFonts w:eastAsia="MS Mincho"/>
              </w:rPr>
              <w:t xml:space="preserve">Math </w:t>
            </w:r>
          </w:p>
        </w:tc>
        <w:tc>
          <w:tcPr>
            <w:tcW w:w="1620" w:type="dxa"/>
            <w:tcBorders>
              <w:top w:val="single" w:sz="4" w:space="0" w:color="auto"/>
              <w:bottom w:val="nil"/>
            </w:tcBorders>
          </w:tcPr>
          <w:p w14:paraId="0FBD07F1" w14:textId="77777777" w:rsidR="004304A2" w:rsidRPr="004304A2" w:rsidRDefault="004304A2" w:rsidP="004304A2">
            <w:pPr>
              <w:tabs>
                <w:tab w:val="left" w:pos="1140"/>
              </w:tabs>
              <w:spacing w:after="200" w:line="276" w:lineRule="auto"/>
              <w:rPr>
                <w:rFonts w:eastAsia="MS Mincho"/>
              </w:rPr>
            </w:pPr>
            <w:r w:rsidRPr="004304A2">
              <w:rPr>
                <w:rFonts w:eastAsia="MS Mincho"/>
              </w:rPr>
              <w:t>2017</w:t>
            </w:r>
          </w:p>
        </w:tc>
        <w:tc>
          <w:tcPr>
            <w:tcW w:w="1013" w:type="dxa"/>
            <w:tcBorders>
              <w:top w:val="single" w:sz="4" w:space="0" w:color="auto"/>
              <w:bottom w:val="nil"/>
            </w:tcBorders>
          </w:tcPr>
          <w:p w14:paraId="61E658A7" w14:textId="77777777" w:rsidR="004304A2" w:rsidRPr="004304A2" w:rsidRDefault="004304A2" w:rsidP="004304A2">
            <w:pPr>
              <w:tabs>
                <w:tab w:val="left" w:pos="1140"/>
              </w:tabs>
              <w:spacing w:after="200" w:line="276" w:lineRule="auto"/>
              <w:rPr>
                <w:rFonts w:eastAsia="MS Mincho"/>
              </w:rPr>
            </w:pPr>
            <w:r w:rsidRPr="004304A2">
              <w:rPr>
                <w:rFonts w:eastAsia="MS Mincho"/>
              </w:rPr>
              <w:t>1</w:t>
            </w:r>
          </w:p>
        </w:tc>
        <w:tc>
          <w:tcPr>
            <w:tcW w:w="1021" w:type="dxa"/>
            <w:tcBorders>
              <w:top w:val="single" w:sz="4" w:space="0" w:color="auto"/>
              <w:bottom w:val="nil"/>
            </w:tcBorders>
          </w:tcPr>
          <w:p w14:paraId="5CE3F008" w14:textId="77777777" w:rsidR="004304A2" w:rsidRPr="004304A2" w:rsidRDefault="004304A2" w:rsidP="004304A2">
            <w:pPr>
              <w:tabs>
                <w:tab w:val="left" w:pos="1140"/>
              </w:tabs>
              <w:spacing w:after="200" w:line="276" w:lineRule="auto"/>
              <w:rPr>
                <w:rFonts w:eastAsia="MS Mincho"/>
              </w:rPr>
            </w:pPr>
            <w:r w:rsidRPr="004304A2">
              <w:rPr>
                <w:rFonts w:eastAsia="MS Mincho"/>
              </w:rPr>
              <w:t>1.371</w:t>
            </w:r>
          </w:p>
        </w:tc>
        <w:tc>
          <w:tcPr>
            <w:tcW w:w="1193" w:type="dxa"/>
            <w:tcBorders>
              <w:top w:val="single" w:sz="4" w:space="0" w:color="auto"/>
              <w:bottom w:val="nil"/>
            </w:tcBorders>
          </w:tcPr>
          <w:p w14:paraId="2F7C5C4B" w14:textId="77777777" w:rsidR="004304A2" w:rsidRPr="004304A2" w:rsidRDefault="004304A2" w:rsidP="004304A2">
            <w:pPr>
              <w:tabs>
                <w:tab w:val="left" w:pos="1140"/>
              </w:tabs>
              <w:spacing w:after="200" w:line="276" w:lineRule="auto"/>
              <w:rPr>
                <w:rFonts w:eastAsia="MS Mincho"/>
              </w:rPr>
            </w:pPr>
            <w:r w:rsidRPr="004304A2">
              <w:rPr>
                <w:rFonts w:eastAsia="MS Mincho"/>
              </w:rPr>
              <w:t>0.244</w:t>
            </w:r>
          </w:p>
        </w:tc>
        <w:tc>
          <w:tcPr>
            <w:tcW w:w="1260" w:type="dxa"/>
            <w:tcBorders>
              <w:top w:val="single" w:sz="4" w:space="0" w:color="auto"/>
              <w:bottom w:val="nil"/>
            </w:tcBorders>
          </w:tcPr>
          <w:p w14:paraId="50ED669D" w14:textId="77777777" w:rsidR="004304A2" w:rsidRPr="004304A2" w:rsidRDefault="004304A2" w:rsidP="004304A2">
            <w:pPr>
              <w:tabs>
                <w:tab w:val="left" w:pos="1140"/>
              </w:tabs>
              <w:spacing w:after="200" w:line="276" w:lineRule="auto"/>
              <w:rPr>
                <w:rFonts w:eastAsia="MS Mincho"/>
              </w:rPr>
            </w:pPr>
            <w:r w:rsidRPr="004304A2">
              <w:rPr>
                <w:rFonts w:eastAsia="MS Mincho"/>
              </w:rPr>
              <w:t>0.012</w:t>
            </w:r>
          </w:p>
        </w:tc>
      </w:tr>
      <w:tr w:rsidR="004304A2" w:rsidRPr="004304A2" w14:paraId="44642B99" w14:textId="77777777" w:rsidTr="00C93D65">
        <w:tc>
          <w:tcPr>
            <w:tcW w:w="1710" w:type="dxa"/>
            <w:vMerge/>
          </w:tcPr>
          <w:p w14:paraId="44FC88B2" w14:textId="77777777" w:rsidR="004304A2" w:rsidRPr="004304A2" w:rsidRDefault="004304A2" w:rsidP="004304A2">
            <w:pPr>
              <w:tabs>
                <w:tab w:val="left" w:pos="1140"/>
              </w:tabs>
              <w:spacing w:after="200" w:line="276" w:lineRule="auto"/>
              <w:rPr>
                <w:rFonts w:eastAsia="MS Mincho"/>
              </w:rPr>
            </w:pPr>
          </w:p>
        </w:tc>
        <w:tc>
          <w:tcPr>
            <w:tcW w:w="1170" w:type="dxa"/>
            <w:tcBorders>
              <w:top w:val="nil"/>
            </w:tcBorders>
          </w:tcPr>
          <w:p w14:paraId="2714EDFB" w14:textId="77777777" w:rsidR="004304A2" w:rsidRPr="004304A2" w:rsidRDefault="004304A2" w:rsidP="004304A2">
            <w:pPr>
              <w:tabs>
                <w:tab w:val="left" w:pos="1140"/>
              </w:tabs>
              <w:spacing w:after="200" w:line="276" w:lineRule="auto"/>
              <w:rPr>
                <w:rFonts w:eastAsia="MS Mincho"/>
              </w:rPr>
            </w:pPr>
            <w:r w:rsidRPr="004304A2">
              <w:rPr>
                <w:rFonts w:eastAsia="MS Mincho"/>
              </w:rPr>
              <w:t>Reading</w:t>
            </w:r>
          </w:p>
        </w:tc>
        <w:tc>
          <w:tcPr>
            <w:tcW w:w="1620" w:type="dxa"/>
            <w:tcBorders>
              <w:top w:val="nil"/>
            </w:tcBorders>
          </w:tcPr>
          <w:p w14:paraId="68FA7D70" w14:textId="77777777" w:rsidR="004304A2" w:rsidRPr="004304A2" w:rsidRDefault="004304A2" w:rsidP="004304A2">
            <w:pPr>
              <w:tabs>
                <w:tab w:val="left" w:pos="1140"/>
              </w:tabs>
              <w:spacing w:after="200" w:line="276" w:lineRule="auto"/>
              <w:rPr>
                <w:rFonts w:eastAsia="MS Mincho"/>
              </w:rPr>
            </w:pPr>
            <w:r w:rsidRPr="004304A2">
              <w:rPr>
                <w:rFonts w:eastAsia="MS Mincho"/>
              </w:rPr>
              <w:t xml:space="preserve">2017 </w:t>
            </w:r>
          </w:p>
        </w:tc>
        <w:tc>
          <w:tcPr>
            <w:tcW w:w="1013" w:type="dxa"/>
            <w:tcBorders>
              <w:top w:val="nil"/>
            </w:tcBorders>
          </w:tcPr>
          <w:p w14:paraId="6CAB27EC" w14:textId="77777777" w:rsidR="004304A2" w:rsidRPr="004304A2" w:rsidRDefault="004304A2" w:rsidP="004304A2">
            <w:pPr>
              <w:tabs>
                <w:tab w:val="left" w:pos="1140"/>
              </w:tabs>
              <w:spacing w:after="200" w:line="276" w:lineRule="auto"/>
              <w:rPr>
                <w:rFonts w:eastAsia="MS Mincho"/>
              </w:rPr>
            </w:pPr>
            <w:r w:rsidRPr="004304A2">
              <w:rPr>
                <w:rFonts w:eastAsia="MS Mincho"/>
              </w:rPr>
              <w:t>1</w:t>
            </w:r>
          </w:p>
        </w:tc>
        <w:tc>
          <w:tcPr>
            <w:tcW w:w="1021" w:type="dxa"/>
            <w:tcBorders>
              <w:top w:val="nil"/>
            </w:tcBorders>
          </w:tcPr>
          <w:p w14:paraId="7D277AB2" w14:textId="77777777" w:rsidR="004304A2" w:rsidRPr="004304A2" w:rsidRDefault="004304A2" w:rsidP="004304A2">
            <w:pPr>
              <w:tabs>
                <w:tab w:val="left" w:pos="1140"/>
              </w:tabs>
              <w:spacing w:after="200" w:line="276" w:lineRule="auto"/>
              <w:rPr>
                <w:rFonts w:eastAsia="MS Mincho"/>
              </w:rPr>
            </w:pPr>
            <w:r w:rsidRPr="004304A2">
              <w:rPr>
                <w:rFonts w:eastAsia="MS Mincho"/>
              </w:rPr>
              <w:t>0.451</w:t>
            </w:r>
          </w:p>
        </w:tc>
        <w:tc>
          <w:tcPr>
            <w:tcW w:w="1193" w:type="dxa"/>
            <w:tcBorders>
              <w:top w:val="nil"/>
            </w:tcBorders>
          </w:tcPr>
          <w:p w14:paraId="6E9B0981" w14:textId="77777777" w:rsidR="004304A2" w:rsidRPr="004304A2" w:rsidRDefault="004304A2" w:rsidP="004304A2">
            <w:pPr>
              <w:tabs>
                <w:tab w:val="left" w:pos="1140"/>
              </w:tabs>
              <w:spacing w:after="200" w:line="276" w:lineRule="auto"/>
              <w:rPr>
                <w:rFonts w:eastAsia="MS Mincho"/>
              </w:rPr>
            </w:pPr>
            <w:r w:rsidRPr="004304A2">
              <w:rPr>
                <w:rFonts w:eastAsia="MS Mincho"/>
              </w:rPr>
              <w:t>0.503</w:t>
            </w:r>
          </w:p>
        </w:tc>
        <w:tc>
          <w:tcPr>
            <w:tcW w:w="1260" w:type="dxa"/>
            <w:tcBorders>
              <w:top w:val="nil"/>
            </w:tcBorders>
          </w:tcPr>
          <w:p w14:paraId="4CC88A08" w14:textId="77777777" w:rsidR="004304A2" w:rsidRPr="004304A2" w:rsidRDefault="004304A2" w:rsidP="004304A2">
            <w:pPr>
              <w:tabs>
                <w:tab w:val="left" w:pos="1140"/>
              </w:tabs>
              <w:spacing w:after="200" w:line="276" w:lineRule="auto"/>
              <w:rPr>
                <w:rFonts w:eastAsia="MS Mincho"/>
              </w:rPr>
            </w:pPr>
            <w:r w:rsidRPr="004304A2">
              <w:rPr>
                <w:rFonts w:eastAsia="MS Mincho"/>
              </w:rPr>
              <w:t>0.004</w:t>
            </w:r>
          </w:p>
        </w:tc>
      </w:tr>
      <w:tr w:rsidR="004304A2" w:rsidRPr="004304A2" w14:paraId="4F2ACD49" w14:textId="77777777" w:rsidTr="00C93D65">
        <w:tc>
          <w:tcPr>
            <w:tcW w:w="1710" w:type="dxa"/>
            <w:vMerge w:val="restart"/>
          </w:tcPr>
          <w:p w14:paraId="51E96C7D" w14:textId="77777777" w:rsidR="004304A2" w:rsidRPr="004304A2" w:rsidRDefault="004304A2" w:rsidP="004304A2">
            <w:pPr>
              <w:tabs>
                <w:tab w:val="left" w:pos="1140"/>
              </w:tabs>
              <w:spacing w:after="200" w:line="276" w:lineRule="auto"/>
              <w:rPr>
                <w:rFonts w:eastAsia="MS Mincho"/>
              </w:rPr>
            </w:pPr>
            <w:r w:rsidRPr="004304A2">
              <w:rPr>
                <w:rFonts w:eastAsia="MS Mincho"/>
              </w:rPr>
              <w:t>First</w:t>
            </w:r>
          </w:p>
        </w:tc>
        <w:tc>
          <w:tcPr>
            <w:tcW w:w="1170" w:type="dxa"/>
          </w:tcPr>
          <w:p w14:paraId="02F3E46F" w14:textId="77777777" w:rsidR="004304A2" w:rsidRPr="004304A2" w:rsidRDefault="004304A2" w:rsidP="004304A2">
            <w:pPr>
              <w:tabs>
                <w:tab w:val="left" w:pos="1140"/>
              </w:tabs>
              <w:spacing w:after="200" w:line="276" w:lineRule="auto"/>
              <w:rPr>
                <w:rFonts w:eastAsia="MS Mincho"/>
              </w:rPr>
            </w:pPr>
            <w:r w:rsidRPr="004304A2">
              <w:rPr>
                <w:rFonts w:eastAsia="MS Mincho"/>
              </w:rPr>
              <w:t xml:space="preserve">Math </w:t>
            </w:r>
          </w:p>
        </w:tc>
        <w:tc>
          <w:tcPr>
            <w:tcW w:w="1620" w:type="dxa"/>
          </w:tcPr>
          <w:p w14:paraId="618F34D0" w14:textId="77777777" w:rsidR="004304A2" w:rsidRPr="004304A2" w:rsidRDefault="004304A2" w:rsidP="004304A2">
            <w:pPr>
              <w:tabs>
                <w:tab w:val="left" w:pos="1140"/>
              </w:tabs>
              <w:spacing w:after="200" w:line="276" w:lineRule="auto"/>
              <w:rPr>
                <w:rFonts w:eastAsia="MS Mincho"/>
              </w:rPr>
            </w:pPr>
            <w:r w:rsidRPr="004304A2">
              <w:rPr>
                <w:rFonts w:eastAsia="MS Mincho"/>
              </w:rPr>
              <w:t xml:space="preserve">2016 </w:t>
            </w:r>
          </w:p>
        </w:tc>
        <w:tc>
          <w:tcPr>
            <w:tcW w:w="1013" w:type="dxa"/>
          </w:tcPr>
          <w:p w14:paraId="4DE9FC23" w14:textId="77777777" w:rsidR="004304A2" w:rsidRPr="004304A2" w:rsidRDefault="004304A2" w:rsidP="004304A2">
            <w:pPr>
              <w:tabs>
                <w:tab w:val="left" w:pos="1140"/>
              </w:tabs>
              <w:spacing w:after="200" w:line="276" w:lineRule="auto"/>
              <w:rPr>
                <w:rFonts w:eastAsia="MS Mincho"/>
              </w:rPr>
            </w:pPr>
            <w:r w:rsidRPr="004304A2">
              <w:rPr>
                <w:rFonts w:eastAsia="MS Mincho"/>
              </w:rPr>
              <w:t>1</w:t>
            </w:r>
          </w:p>
        </w:tc>
        <w:tc>
          <w:tcPr>
            <w:tcW w:w="1021" w:type="dxa"/>
          </w:tcPr>
          <w:p w14:paraId="247A9CC3" w14:textId="77777777" w:rsidR="004304A2" w:rsidRPr="004304A2" w:rsidRDefault="004304A2" w:rsidP="004304A2">
            <w:pPr>
              <w:tabs>
                <w:tab w:val="left" w:pos="1140"/>
              </w:tabs>
              <w:spacing w:after="200" w:line="276" w:lineRule="auto"/>
              <w:rPr>
                <w:rFonts w:eastAsia="MS Mincho"/>
              </w:rPr>
            </w:pPr>
            <w:r w:rsidRPr="004304A2">
              <w:rPr>
                <w:rFonts w:eastAsia="MS Mincho"/>
              </w:rPr>
              <w:t>0.186</w:t>
            </w:r>
          </w:p>
        </w:tc>
        <w:tc>
          <w:tcPr>
            <w:tcW w:w="1193" w:type="dxa"/>
          </w:tcPr>
          <w:p w14:paraId="0EDCBAB6" w14:textId="77777777" w:rsidR="004304A2" w:rsidRPr="004304A2" w:rsidRDefault="004304A2" w:rsidP="004304A2">
            <w:pPr>
              <w:tabs>
                <w:tab w:val="left" w:pos="1140"/>
              </w:tabs>
              <w:spacing w:after="200" w:line="276" w:lineRule="auto"/>
              <w:rPr>
                <w:rFonts w:eastAsia="MS Mincho"/>
              </w:rPr>
            </w:pPr>
            <w:r w:rsidRPr="004304A2">
              <w:rPr>
                <w:rFonts w:eastAsia="MS Mincho"/>
              </w:rPr>
              <w:t>0.667</w:t>
            </w:r>
          </w:p>
        </w:tc>
        <w:tc>
          <w:tcPr>
            <w:tcW w:w="1260" w:type="dxa"/>
          </w:tcPr>
          <w:p w14:paraId="44F391BD" w14:textId="77777777" w:rsidR="004304A2" w:rsidRPr="004304A2" w:rsidRDefault="004304A2" w:rsidP="004304A2">
            <w:pPr>
              <w:tabs>
                <w:tab w:val="left" w:pos="1140"/>
              </w:tabs>
              <w:spacing w:after="200" w:line="276" w:lineRule="auto"/>
              <w:rPr>
                <w:rFonts w:eastAsia="MS Mincho"/>
              </w:rPr>
            </w:pPr>
            <w:r w:rsidRPr="004304A2">
              <w:rPr>
                <w:rFonts w:eastAsia="MS Mincho"/>
              </w:rPr>
              <w:t>0.002</w:t>
            </w:r>
          </w:p>
        </w:tc>
      </w:tr>
      <w:tr w:rsidR="004304A2" w:rsidRPr="004304A2" w14:paraId="79DB3CE0" w14:textId="77777777" w:rsidTr="00C93D65">
        <w:tc>
          <w:tcPr>
            <w:tcW w:w="1710" w:type="dxa"/>
            <w:vMerge/>
          </w:tcPr>
          <w:p w14:paraId="38124A41" w14:textId="77777777" w:rsidR="004304A2" w:rsidRPr="004304A2" w:rsidRDefault="004304A2" w:rsidP="004304A2">
            <w:pPr>
              <w:tabs>
                <w:tab w:val="left" w:pos="1140"/>
              </w:tabs>
              <w:spacing w:after="200" w:line="276" w:lineRule="auto"/>
              <w:rPr>
                <w:rFonts w:eastAsia="MS Mincho"/>
              </w:rPr>
            </w:pPr>
          </w:p>
        </w:tc>
        <w:tc>
          <w:tcPr>
            <w:tcW w:w="1170" w:type="dxa"/>
          </w:tcPr>
          <w:p w14:paraId="30B76632" w14:textId="77777777" w:rsidR="004304A2" w:rsidRPr="004304A2" w:rsidRDefault="004304A2" w:rsidP="004304A2">
            <w:pPr>
              <w:tabs>
                <w:tab w:val="left" w:pos="1140"/>
              </w:tabs>
              <w:spacing w:after="200" w:line="276" w:lineRule="auto"/>
              <w:rPr>
                <w:rFonts w:eastAsia="MS Mincho"/>
              </w:rPr>
            </w:pPr>
            <w:r w:rsidRPr="004304A2">
              <w:rPr>
                <w:rFonts w:eastAsia="MS Mincho"/>
              </w:rPr>
              <w:t>Reading</w:t>
            </w:r>
          </w:p>
        </w:tc>
        <w:tc>
          <w:tcPr>
            <w:tcW w:w="1620" w:type="dxa"/>
          </w:tcPr>
          <w:p w14:paraId="06D86A0E" w14:textId="77777777" w:rsidR="004304A2" w:rsidRPr="004304A2" w:rsidRDefault="004304A2" w:rsidP="004304A2">
            <w:pPr>
              <w:tabs>
                <w:tab w:val="left" w:pos="1140"/>
              </w:tabs>
              <w:spacing w:after="200" w:line="276" w:lineRule="auto"/>
              <w:rPr>
                <w:rFonts w:eastAsia="MS Mincho"/>
              </w:rPr>
            </w:pPr>
            <w:r w:rsidRPr="004304A2">
              <w:rPr>
                <w:rFonts w:eastAsia="MS Mincho"/>
              </w:rPr>
              <w:t>2016</w:t>
            </w:r>
          </w:p>
        </w:tc>
        <w:tc>
          <w:tcPr>
            <w:tcW w:w="1013" w:type="dxa"/>
          </w:tcPr>
          <w:p w14:paraId="37693F0D" w14:textId="77777777" w:rsidR="004304A2" w:rsidRPr="004304A2" w:rsidRDefault="004304A2" w:rsidP="004304A2">
            <w:pPr>
              <w:tabs>
                <w:tab w:val="left" w:pos="1140"/>
              </w:tabs>
              <w:spacing w:after="200" w:line="276" w:lineRule="auto"/>
              <w:rPr>
                <w:rFonts w:eastAsia="MS Mincho"/>
              </w:rPr>
            </w:pPr>
            <w:r w:rsidRPr="004304A2">
              <w:rPr>
                <w:rFonts w:eastAsia="MS Mincho"/>
              </w:rPr>
              <w:t>1</w:t>
            </w:r>
          </w:p>
        </w:tc>
        <w:tc>
          <w:tcPr>
            <w:tcW w:w="1021" w:type="dxa"/>
          </w:tcPr>
          <w:p w14:paraId="5BA4B6C1" w14:textId="77777777" w:rsidR="004304A2" w:rsidRPr="004304A2" w:rsidRDefault="004304A2" w:rsidP="004304A2">
            <w:pPr>
              <w:tabs>
                <w:tab w:val="left" w:pos="1140"/>
              </w:tabs>
              <w:spacing w:after="200" w:line="276" w:lineRule="auto"/>
              <w:rPr>
                <w:rFonts w:eastAsia="MS Mincho"/>
              </w:rPr>
            </w:pPr>
            <w:r w:rsidRPr="004304A2">
              <w:rPr>
                <w:rFonts w:eastAsia="MS Mincho"/>
              </w:rPr>
              <w:t>0.000</w:t>
            </w:r>
          </w:p>
        </w:tc>
        <w:tc>
          <w:tcPr>
            <w:tcW w:w="1193" w:type="dxa"/>
          </w:tcPr>
          <w:p w14:paraId="5903EC91" w14:textId="77777777" w:rsidR="004304A2" w:rsidRPr="004304A2" w:rsidRDefault="004304A2" w:rsidP="004304A2">
            <w:pPr>
              <w:tabs>
                <w:tab w:val="left" w:pos="1140"/>
              </w:tabs>
              <w:spacing w:after="200" w:line="276" w:lineRule="auto"/>
              <w:rPr>
                <w:rFonts w:eastAsia="MS Mincho"/>
              </w:rPr>
            </w:pPr>
            <w:r w:rsidRPr="004304A2">
              <w:rPr>
                <w:rFonts w:eastAsia="MS Mincho"/>
              </w:rPr>
              <w:t>0.984</w:t>
            </w:r>
          </w:p>
        </w:tc>
        <w:tc>
          <w:tcPr>
            <w:tcW w:w="1260" w:type="dxa"/>
          </w:tcPr>
          <w:p w14:paraId="06976A72" w14:textId="77777777" w:rsidR="004304A2" w:rsidRPr="004304A2" w:rsidRDefault="004304A2" w:rsidP="004304A2">
            <w:pPr>
              <w:tabs>
                <w:tab w:val="left" w:pos="1140"/>
              </w:tabs>
              <w:spacing w:after="200" w:line="276" w:lineRule="auto"/>
              <w:rPr>
                <w:rFonts w:eastAsia="MS Mincho"/>
              </w:rPr>
            </w:pPr>
            <w:r w:rsidRPr="004304A2">
              <w:rPr>
                <w:rFonts w:eastAsia="MS Mincho"/>
              </w:rPr>
              <w:t>0.000</w:t>
            </w:r>
          </w:p>
        </w:tc>
      </w:tr>
      <w:tr w:rsidR="004304A2" w:rsidRPr="004304A2" w14:paraId="6CA221EC" w14:textId="77777777" w:rsidTr="00C93D65">
        <w:tc>
          <w:tcPr>
            <w:tcW w:w="1710" w:type="dxa"/>
            <w:vMerge/>
          </w:tcPr>
          <w:p w14:paraId="6ABB56AE" w14:textId="77777777" w:rsidR="004304A2" w:rsidRPr="004304A2" w:rsidRDefault="004304A2" w:rsidP="004304A2">
            <w:pPr>
              <w:tabs>
                <w:tab w:val="left" w:pos="1140"/>
              </w:tabs>
              <w:spacing w:after="200" w:line="276" w:lineRule="auto"/>
              <w:rPr>
                <w:rFonts w:eastAsia="MS Mincho"/>
              </w:rPr>
            </w:pPr>
          </w:p>
        </w:tc>
        <w:tc>
          <w:tcPr>
            <w:tcW w:w="1170" w:type="dxa"/>
          </w:tcPr>
          <w:p w14:paraId="2FF95469" w14:textId="77777777" w:rsidR="004304A2" w:rsidRPr="004304A2" w:rsidRDefault="004304A2" w:rsidP="004304A2">
            <w:pPr>
              <w:tabs>
                <w:tab w:val="left" w:pos="1140"/>
              </w:tabs>
              <w:spacing w:after="200" w:line="276" w:lineRule="auto"/>
              <w:rPr>
                <w:rFonts w:eastAsia="MS Mincho"/>
              </w:rPr>
            </w:pPr>
            <w:r w:rsidRPr="004304A2">
              <w:rPr>
                <w:rFonts w:eastAsia="MS Mincho"/>
              </w:rPr>
              <w:t xml:space="preserve">Math </w:t>
            </w:r>
          </w:p>
        </w:tc>
        <w:tc>
          <w:tcPr>
            <w:tcW w:w="1620" w:type="dxa"/>
          </w:tcPr>
          <w:p w14:paraId="0B281C03" w14:textId="77777777" w:rsidR="004304A2" w:rsidRPr="004304A2" w:rsidRDefault="004304A2" w:rsidP="004304A2">
            <w:pPr>
              <w:tabs>
                <w:tab w:val="left" w:pos="1140"/>
              </w:tabs>
              <w:spacing w:after="200" w:line="276" w:lineRule="auto"/>
              <w:rPr>
                <w:rFonts w:eastAsia="MS Mincho"/>
              </w:rPr>
            </w:pPr>
            <w:r w:rsidRPr="004304A2">
              <w:rPr>
                <w:rFonts w:eastAsia="MS Mincho"/>
              </w:rPr>
              <w:t>2017</w:t>
            </w:r>
          </w:p>
        </w:tc>
        <w:tc>
          <w:tcPr>
            <w:tcW w:w="1013" w:type="dxa"/>
          </w:tcPr>
          <w:p w14:paraId="1CC746BB" w14:textId="77777777" w:rsidR="004304A2" w:rsidRPr="004304A2" w:rsidRDefault="004304A2" w:rsidP="004304A2">
            <w:pPr>
              <w:tabs>
                <w:tab w:val="left" w:pos="1140"/>
              </w:tabs>
              <w:spacing w:after="200" w:line="276" w:lineRule="auto"/>
              <w:rPr>
                <w:rFonts w:eastAsia="MS Mincho"/>
              </w:rPr>
            </w:pPr>
            <w:r w:rsidRPr="004304A2">
              <w:rPr>
                <w:rFonts w:eastAsia="MS Mincho"/>
              </w:rPr>
              <w:t>1</w:t>
            </w:r>
          </w:p>
        </w:tc>
        <w:tc>
          <w:tcPr>
            <w:tcW w:w="1021" w:type="dxa"/>
          </w:tcPr>
          <w:p w14:paraId="23F12AC8" w14:textId="77777777" w:rsidR="004304A2" w:rsidRPr="004304A2" w:rsidRDefault="004304A2" w:rsidP="004304A2">
            <w:pPr>
              <w:tabs>
                <w:tab w:val="left" w:pos="1140"/>
              </w:tabs>
              <w:spacing w:after="200" w:line="276" w:lineRule="auto"/>
              <w:rPr>
                <w:rFonts w:eastAsia="MS Mincho"/>
              </w:rPr>
            </w:pPr>
            <w:r w:rsidRPr="004304A2">
              <w:rPr>
                <w:rFonts w:eastAsia="MS Mincho"/>
              </w:rPr>
              <w:t>4.766</w:t>
            </w:r>
          </w:p>
        </w:tc>
        <w:tc>
          <w:tcPr>
            <w:tcW w:w="1193" w:type="dxa"/>
          </w:tcPr>
          <w:p w14:paraId="760312FE" w14:textId="77777777" w:rsidR="004304A2" w:rsidRPr="004304A2" w:rsidRDefault="004304A2" w:rsidP="004304A2">
            <w:pPr>
              <w:tabs>
                <w:tab w:val="left" w:pos="1140"/>
              </w:tabs>
              <w:spacing w:after="200" w:line="276" w:lineRule="auto"/>
              <w:rPr>
                <w:rFonts w:eastAsia="MS Mincho"/>
              </w:rPr>
            </w:pPr>
            <w:r w:rsidRPr="004304A2">
              <w:rPr>
                <w:rFonts w:eastAsia="MS Mincho"/>
              </w:rPr>
              <w:t>0.031*</w:t>
            </w:r>
          </w:p>
        </w:tc>
        <w:tc>
          <w:tcPr>
            <w:tcW w:w="1260" w:type="dxa"/>
          </w:tcPr>
          <w:p w14:paraId="6EFCA064" w14:textId="77777777" w:rsidR="004304A2" w:rsidRPr="004304A2" w:rsidRDefault="004304A2" w:rsidP="004304A2">
            <w:pPr>
              <w:tabs>
                <w:tab w:val="left" w:pos="1140"/>
              </w:tabs>
              <w:spacing w:after="200" w:line="276" w:lineRule="auto"/>
              <w:rPr>
                <w:rFonts w:eastAsia="MS Mincho"/>
              </w:rPr>
            </w:pPr>
            <w:r w:rsidRPr="004304A2">
              <w:rPr>
                <w:rFonts w:eastAsia="MS Mincho"/>
              </w:rPr>
              <w:t>0.045</w:t>
            </w:r>
          </w:p>
        </w:tc>
      </w:tr>
      <w:tr w:rsidR="004304A2" w:rsidRPr="004304A2" w14:paraId="0B9E847B" w14:textId="77777777" w:rsidTr="00C93D65">
        <w:tc>
          <w:tcPr>
            <w:tcW w:w="1710" w:type="dxa"/>
            <w:vMerge/>
          </w:tcPr>
          <w:p w14:paraId="22FC55D8" w14:textId="77777777" w:rsidR="004304A2" w:rsidRPr="004304A2" w:rsidRDefault="004304A2" w:rsidP="004304A2">
            <w:pPr>
              <w:tabs>
                <w:tab w:val="left" w:pos="1140"/>
              </w:tabs>
              <w:spacing w:after="200" w:line="276" w:lineRule="auto"/>
              <w:rPr>
                <w:rFonts w:eastAsia="MS Mincho"/>
              </w:rPr>
            </w:pPr>
          </w:p>
        </w:tc>
        <w:tc>
          <w:tcPr>
            <w:tcW w:w="1170" w:type="dxa"/>
          </w:tcPr>
          <w:p w14:paraId="457603BA" w14:textId="77777777" w:rsidR="004304A2" w:rsidRPr="004304A2" w:rsidRDefault="004304A2" w:rsidP="004304A2">
            <w:pPr>
              <w:tabs>
                <w:tab w:val="left" w:pos="1140"/>
              </w:tabs>
              <w:spacing w:after="200" w:line="276" w:lineRule="auto"/>
              <w:rPr>
                <w:rFonts w:eastAsia="MS Mincho"/>
              </w:rPr>
            </w:pPr>
            <w:r w:rsidRPr="004304A2">
              <w:rPr>
                <w:rFonts w:eastAsia="MS Mincho"/>
              </w:rPr>
              <w:t xml:space="preserve">Reading </w:t>
            </w:r>
          </w:p>
        </w:tc>
        <w:tc>
          <w:tcPr>
            <w:tcW w:w="1620" w:type="dxa"/>
          </w:tcPr>
          <w:p w14:paraId="5B79E29E" w14:textId="77777777" w:rsidR="004304A2" w:rsidRPr="004304A2" w:rsidRDefault="004304A2" w:rsidP="004304A2">
            <w:pPr>
              <w:tabs>
                <w:tab w:val="left" w:pos="1140"/>
              </w:tabs>
              <w:spacing w:after="200" w:line="276" w:lineRule="auto"/>
              <w:rPr>
                <w:rFonts w:eastAsia="MS Mincho"/>
              </w:rPr>
            </w:pPr>
            <w:r w:rsidRPr="004304A2">
              <w:rPr>
                <w:rFonts w:eastAsia="MS Mincho"/>
              </w:rPr>
              <w:t>2017</w:t>
            </w:r>
          </w:p>
        </w:tc>
        <w:tc>
          <w:tcPr>
            <w:tcW w:w="1013" w:type="dxa"/>
          </w:tcPr>
          <w:p w14:paraId="6DF79E63" w14:textId="77777777" w:rsidR="004304A2" w:rsidRPr="004304A2" w:rsidRDefault="004304A2" w:rsidP="004304A2">
            <w:pPr>
              <w:tabs>
                <w:tab w:val="left" w:pos="1140"/>
              </w:tabs>
              <w:spacing w:after="200" w:line="276" w:lineRule="auto"/>
              <w:rPr>
                <w:rFonts w:eastAsia="MS Mincho"/>
              </w:rPr>
            </w:pPr>
            <w:r w:rsidRPr="004304A2">
              <w:rPr>
                <w:rFonts w:eastAsia="MS Mincho"/>
              </w:rPr>
              <w:t>1</w:t>
            </w:r>
          </w:p>
        </w:tc>
        <w:tc>
          <w:tcPr>
            <w:tcW w:w="1021" w:type="dxa"/>
          </w:tcPr>
          <w:p w14:paraId="4F8437BF" w14:textId="77777777" w:rsidR="004304A2" w:rsidRPr="004304A2" w:rsidRDefault="004304A2" w:rsidP="004304A2">
            <w:pPr>
              <w:tabs>
                <w:tab w:val="left" w:pos="1140"/>
              </w:tabs>
              <w:spacing w:after="200" w:line="276" w:lineRule="auto"/>
              <w:rPr>
                <w:rFonts w:eastAsia="MS Mincho"/>
              </w:rPr>
            </w:pPr>
            <w:r w:rsidRPr="004304A2">
              <w:rPr>
                <w:rFonts w:eastAsia="MS Mincho"/>
              </w:rPr>
              <w:t>1.254</w:t>
            </w:r>
          </w:p>
        </w:tc>
        <w:tc>
          <w:tcPr>
            <w:tcW w:w="1193" w:type="dxa"/>
          </w:tcPr>
          <w:p w14:paraId="1E5B76ED" w14:textId="77777777" w:rsidR="004304A2" w:rsidRPr="004304A2" w:rsidRDefault="004304A2" w:rsidP="004304A2">
            <w:pPr>
              <w:tabs>
                <w:tab w:val="left" w:pos="1140"/>
              </w:tabs>
              <w:spacing w:after="200" w:line="276" w:lineRule="auto"/>
              <w:rPr>
                <w:rFonts w:eastAsia="MS Mincho"/>
              </w:rPr>
            </w:pPr>
            <w:r w:rsidRPr="004304A2">
              <w:rPr>
                <w:rFonts w:eastAsia="MS Mincho"/>
              </w:rPr>
              <w:t>0.266</w:t>
            </w:r>
          </w:p>
        </w:tc>
        <w:tc>
          <w:tcPr>
            <w:tcW w:w="1260" w:type="dxa"/>
          </w:tcPr>
          <w:p w14:paraId="35EE2216" w14:textId="77777777" w:rsidR="004304A2" w:rsidRPr="004304A2" w:rsidRDefault="004304A2" w:rsidP="004304A2">
            <w:pPr>
              <w:tabs>
                <w:tab w:val="left" w:pos="1140"/>
              </w:tabs>
              <w:spacing w:after="200" w:line="276" w:lineRule="auto"/>
              <w:rPr>
                <w:rFonts w:eastAsia="MS Mincho"/>
              </w:rPr>
            </w:pPr>
            <w:r w:rsidRPr="004304A2">
              <w:rPr>
                <w:rFonts w:eastAsia="MS Mincho"/>
              </w:rPr>
              <w:t>0.012</w:t>
            </w:r>
          </w:p>
        </w:tc>
      </w:tr>
      <w:tr w:rsidR="004304A2" w:rsidRPr="004304A2" w14:paraId="1B2188D9" w14:textId="77777777" w:rsidTr="00C93D65">
        <w:tc>
          <w:tcPr>
            <w:tcW w:w="1710" w:type="dxa"/>
            <w:vMerge w:val="restart"/>
          </w:tcPr>
          <w:p w14:paraId="5B4D1808" w14:textId="77777777" w:rsidR="004304A2" w:rsidRPr="004304A2" w:rsidRDefault="004304A2" w:rsidP="004304A2">
            <w:pPr>
              <w:tabs>
                <w:tab w:val="left" w:pos="1140"/>
              </w:tabs>
              <w:spacing w:after="200" w:line="276" w:lineRule="auto"/>
              <w:rPr>
                <w:rFonts w:eastAsia="MS Mincho"/>
              </w:rPr>
            </w:pPr>
            <w:r w:rsidRPr="004304A2">
              <w:rPr>
                <w:rFonts w:eastAsia="MS Mincho"/>
              </w:rPr>
              <w:t xml:space="preserve">Second </w:t>
            </w:r>
          </w:p>
        </w:tc>
        <w:tc>
          <w:tcPr>
            <w:tcW w:w="1170" w:type="dxa"/>
          </w:tcPr>
          <w:p w14:paraId="379FD156" w14:textId="77777777" w:rsidR="004304A2" w:rsidRPr="004304A2" w:rsidRDefault="004304A2" w:rsidP="004304A2">
            <w:pPr>
              <w:tabs>
                <w:tab w:val="left" w:pos="1140"/>
              </w:tabs>
              <w:spacing w:after="200" w:line="276" w:lineRule="auto"/>
              <w:rPr>
                <w:rFonts w:eastAsia="MS Mincho"/>
              </w:rPr>
            </w:pPr>
            <w:r w:rsidRPr="004304A2">
              <w:rPr>
                <w:rFonts w:eastAsia="MS Mincho"/>
              </w:rPr>
              <w:t xml:space="preserve">Math </w:t>
            </w:r>
          </w:p>
        </w:tc>
        <w:tc>
          <w:tcPr>
            <w:tcW w:w="1620" w:type="dxa"/>
          </w:tcPr>
          <w:p w14:paraId="092E8F56" w14:textId="77777777" w:rsidR="004304A2" w:rsidRPr="004304A2" w:rsidRDefault="004304A2" w:rsidP="004304A2">
            <w:pPr>
              <w:tabs>
                <w:tab w:val="left" w:pos="1140"/>
              </w:tabs>
              <w:spacing w:after="200" w:line="276" w:lineRule="auto"/>
              <w:rPr>
                <w:rFonts w:eastAsia="MS Mincho"/>
              </w:rPr>
            </w:pPr>
            <w:r w:rsidRPr="004304A2">
              <w:rPr>
                <w:rFonts w:eastAsia="MS Mincho"/>
              </w:rPr>
              <w:t xml:space="preserve">2016 </w:t>
            </w:r>
          </w:p>
        </w:tc>
        <w:tc>
          <w:tcPr>
            <w:tcW w:w="1013" w:type="dxa"/>
          </w:tcPr>
          <w:p w14:paraId="5A3D8778" w14:textId="77777777" w:rsidR="004304A2" w:rsidRPr="004304A2" w:rsidRDefault="004304A2" w:rsidP="004304A2">
            <w:pPr>
              <w:tabs>
                <w:tab w:val="left" w:pos="1140"/>
              </w:tabs>
              <w:spacing w:after="200" w:line="276" w:lineRule="auto"/>
              <w:rPr>
                <w:rFonts w:eastAsia="MS Mincho"/>
              </w:rPr>
            </w:pPr>
            <w:r w:rsidRPr="004304A2">
              <w:rPr>
                <w:rFonts w:eastAsia="MS Mincho"/>
              </w:rPr>
              <w:t>1</w:t>
            </w:r>
          </w:p>
        </w:tc>
        <w:tc>
          <w:tcPr>
            <w:tcW w:w="1021" w:type="dxa"/>
          </w:tcPr>
          <w:p w14:paraId="0582ED66" w14:textId="77777777" w:rsidR="004304A2" w:rsidRPr="004304A2" w:rsidRDefault="004304A2" w:rsidP="004304A2">
            <w:pPr>
              <w:tabs>
                <w:tab w:val="left" w:pos="1140"/>
              </w:tabs>
              <w:spacing w:after="200" w:line="276" w:lineRule="auto"/>
              <w:rPr>
                <w:rFonts w:eastAsia="MS Mincho"/>
              </w:rPr>
            </w:pPr>
            <w:r w:rsidRPr="004304A2">
              <w:rPr>
                <w:rFonts w:eastAsia="MS Mincho"/>
              </w:rPr>
              <w:t>9.843</w:t>
            </w:r>
          </w:p>
        </w:tc>
        <w:tc>
          <w:tcPr>
            <w:tcW w:w="1193" w:type="dxa"/>
          </w:tcPr>
          <w:p w14:paraId="0ADA1DA0" w14:textId="77777777" w:rsidR="004304A2" w:rsidRPr="004304A2" w:rsidRDefault="004304A2" w:rsidP="004304A2">
            <w:pPr>
              <w:tabs>
                <w:tab w:val="left" w:pos="1140"/>
              </w:tabs>
              <w:spacing w:after="200" w:line="276" w:lineRule="auto"/>
              <w:rPr>
                <w:rFonts w:eastAsia="MS Mincho"/>
              </w:rPr>
            </w:pPr>
            <w:r w:rsidRPr="004304A2">
              <w:rPr>
                <w:rFonts w:eastAsia="MS Mincho"/>
              </w:rPr>
              <w:t>0.002*</w:t>
            </w:r>
          </w:p>
        </w:tc>
        <w:tc>
          <w:tcPr>
            <w:tcW w:w="1260" w:type="dxa"/>
          </w:tcPr>
          <w:p w14:paraId="6CAF461C" w14:textId="77777777" w:rsidR="004304A2" w:rsidRPr="004304A2" w:rsidRDefault="004304A2" w:rsidP="004304A2">
            <w:pPr>
              <w:tabs>
                <w:tab w:val="left" w:pos="1140"/>
              </w:tabs>
              <w:spacing w:after="200" w:line="276" w:lineRule="auto"/>
              <w:rPr>
                <w:rFonts w:eastAsia="MS Mincho"/>
              </w:rPr>
            </w:pPr>
            <w:r w:rsidRPr="004304A2">
              <w:rPr>
                <w:rFonts w:eastAsia="MS Mincho"/>
              </w:rPr>
              <w:t>0.076</w:t>
            </w:r>
          </w:p>
        </w:tc>
      </w:tr>
      <w:tr w:rsidR="004304A2" w:rsidRPr="004304A2" w14:paraId="1645DB19" w14:textId="77777777" w:rsidTr="00C93D65">
        <w:tc>
          <w:tcPr>
            <w:tcW w:w="1710" w:type="dxa"/>
            <w:vMerge/>
          </w:tcPr>
          <w:p w14:paraId="708BBD3A" w14:textId="77777777" w:rsidR="004304A2" w:rsidRPr="004304A2" w:rsidRDefault="004304A2" w:rsidP="004304A2">
            <w:pPr>
              <w:tabs>
                <w:tab w:val="left" w:pos="1140"/>
              </w:tabs>
              <w:spacing w:after="200" w:line="276" w:lineRule="auto"/>
              <w:rPr>
                <w:rFonts w:eastAsia="MS Mincho"/>
              </w:rPr>
            </w:pPr>
          </w:p>
        </w:tc>
        <w:tc>
          <w:tcPr>
            <w:tcW w:w="1170" w:type="dxa"/>
          </w:tcPr>
          <w:p w14:paraId="3BE75674" w14:textId="77777777" w:rsidR="004304A2" w:rsidRPr="004304A2" w:rsidRDefault="004304A2" w:rsidP="004304A2">
            <w:pPr>
              <w:tabs>
                <w:tab w:val="left" w:pos="1140"/>
              </w:tabs>
              <w:spacing w:after="200" w:line="276" w:lineRule="auto"/>
              <w:rPr>
                <w:rFonts w:eastAsia="MS Mincho"/>
              </w:rPr>
            </w:pPr>
            <w:r w:rsidRPr="004304A2">
              <w:rPr>
                <w:rFonts w:eastAsia="MS Mincho"/>
              </w:rPr>
              <w:t xml:space="preserve">Reading </w:t>
            </w:r>
          </w:p>
        </w:tc>
        <w:tc>
          <w:tcPr>
            <w:tcW w:w="1620" w:type="dxa"/>
          </w:tcPr>
          <w:p w14:paraId="34EC67B3" w14:textId="77777777" w:rsidR="004304A2" w:rsidRPr="004304A2" w:rsidRDefault="004304A2" w:rsidP="004304A2">
            <w:pPr>
              <w:tabs>
                <w:tab w:val="left" w:pos="1140"/>
              </w:tabs>
              <w:spacing w:after="200" w:line="276" w:lineRule="auto"/>
              <w:rPr>
                <w:rFonts w:eastAsia="MS Mincho"/>
              </w:rPr>
            </w:pPr>
            <w:r w:rsidRPr="004304A2">
              <w:rPr>
                <w:rFonts w:eastAsia="MS Mincho"/>
              </w:rPr>
              <w:t>2016</w:t>
            </w:r>
          </w:p>
        </w:tc>
        <w:tc>
          <w:tcPr>
            <w:tcW w:w="1013" w:type="dxa"/>
          </w:tcPr>
          <w:p w14:paraId="6C530369" w14:textId="77777777" w:rsidR="004304A2" w:rsidRPr="004304A2" w:rsidRDefault="004304A2" w:rsidP="004304A2">
            <w:pPr>
              <w:tabs>
                <w:tab w:val="left" w:pos="1140"/>
              </w:tabs>
              <w:spacing w:after="200" w:line="276" w:lineRule="auto"/>
              <w:rPr>
                <w:rFonts w:eastAsia="MS Mincho"/>
              </w:rPr>
            </w:pPr>
            <w:r w:rsidRPr="004304A2">
              <w:rPr>
                <w:rFonts w:eastAsia="MS Mincho"/>
              </w:rPr>
              <w:t>1</w:t>
            </w:r>
          </w:p>
        </w:tc>
        <w:tc>
          <w:tcPr>
            <w:tcW w:w="1021" w:type="dxa"/>
          </w:tcPr>
          <w:p w14:paraId="47B6B4A0" w14:textId="77777777" w:rsidR="004304A2" w:rsidRPr="004304A2" w:rsidRDefault="004304A2" w:rsidP="004304A2">
            <w:pPr>
              <w:tabs>
                <w:tab w:val="left" w:pos="1140"/>
              </w:tabs>
              <w:spacing w:after="200" w:line="276" w:lineRule="auto"/>
              <w:rPr>
                <w:rFonts w:eastAsia="MS Mincho"/>
              </w:rPr>
            </w:pPr>
            <w:r w:rsidRPr="004304A2">
              <w:rPr>
                <w:rFonts w:eastAsia="MS Mincho"/>
              </w:rPr>
              <w:t>3.372</w:t>
            </w:r>
          </w:p>
        </w:tc>
        <w:tc>
          <w:tcPr>
            <w:tcW w:w="1193" w:type="dxa"/>
          </w:tcPr>
          <w:p w14:paraId="473C441A" w14:textId="77777777" w:rsidR="004304A2" w:rsidRPr="004304A2" w:rsidRDefault="004304A2" w:rsidP="004304A2">
            <w:pPr>
              <w:tabs>
                <w:tab w:val="left" w:pos="1140"/>
              </w:tabs>
              <w:spacing w:after="200" w:line="276" w:lineRule="auto"/>
              <w:rPr>
                <w:rFonts w:eastAsia="MS Mincho"/>
              </w:rPr>
            </w:pPr>
            <w:r w:rsidRPr="004304A2">
              <w:rPr>
                <w:rFonts w:eastAsia="MS Mincho"/>
              </w:rPr>
              <w:t>0.069</w:t>
            </w:r>
          </w:p>
        </w:tc>
        <w:tc>
          <w:tcPr>
            <w:tcW w:w="1260" w:type="dxa"/>
          </w:tcPr>
          <w:p w14:paraId="6E0D7B73" w14:textId="77777777" w:rsidR="004304A2" w:rsidRPr="004304A2" w:rsidRDefault="004304A2" w:rsidP="004304A2">
            <w:pPr>
              <w:tabs>
                <w:tab w:val="left" w:pos="1140"/>
              </w:tabs>
              <w:spacing w:after="200" w:line="276" w:lineRule="auto"/>
              <w:rPr>
                <w:rFonts w:eastAsia="MS Mincho"/>
              </w:rPr>
            </w:pPr>
            <w:r w:rsidRPr="004304A2">
              <w:rPr>
                <w:rFonts w:eastAsia="MS Mincho"/>
              </w:rPr>
              <w:t>0.027</w:t>
            </w:r>
          </w:p>
        </w:tc>
      </w:tr>
      <w:tr w:rsidR="004304A2" w:rsidRPr="004304A2" w14:paraId="22ABB411" w14:textId="77777777" w:rsidTr="00C93D65">
        <w:tc>
          <w:tcPr>
            <w:tcW w:w="1710" w:type="dxa"/>
            <w:vMerge/>
          </w:tcPr>
          <w:p w14:paraId="10F30C5A" w14:textId="77777777" w:rsidR="004304A2" w:rsidRPr="004304A2" w:rsidRDefault="004304A2" w:rsidP="004304A2">
            <w:pPr>
              <w:tabs>
                <w:tab w:val="left" w:pos="1140"/>
              </w:tabs>
              <w:spacing w:after="200" w:line="276" w:lineRule="auto"/>
              <w:rPr>
                <w:rFonts w:eastAsia="MS Mincho"/>
              </w:rPr>
            </w:pPr>
          </w:p>
        </w:tc>
        <w:tc>
          <w:tcPr>
            <w:tcW w:w="1170" w:type="dxa"/>
          </w:tcPr>
          <w:p w14:paraId="572D89FF" w14:textId="77777777" w:rsidR="004304A2" w:rsidRPr="004304A2" w:rsidRDefault="004304A2" w:rsidP="004304A2">
            <w:pPr>
              <w:tabs>
                <w:tab w:val="left" w:pos="1140"/>
              </w:tabs>
              <w:spacing w:after="200" w:line="276" w:lineRule="auto"/>
              <w:rPr>
                <w:rFonts w:eastAsia="MS Mincho"/>
              </w:rPr>
            </w:pPr>
            <w:r w:rsidRPr="004304A2">
              <w:rPr>
                <w:rFonts w:eastAsia="MS Mincho"/>
              </w:rPr>
              <w:t xml:space="preserve">Math </w:t>
            </w:r>
          </w:p>
        </w:tc>
        <w:tc>
          <w:tcPr>
            <w:tcW w:w="1620" w:type="dxa"/>
          </w:tcPr>
          <w:p w14:paraId="0913E969" w14:textId="77777777" w:rsidR="004304A2" w:rsidRPr="004304A2" w:rsidRDefault="004304A2" w:rsidP="004304A2">
            <w:pPr>
              <w:tabs>
                <w:tab w:val="left" w:pos="1140"/>
              </w:tabs>
              <w:spacing w:after="200" w:line="276" w:lineRule="auto"/>
              <w:rPr>
                <w:rFonts w:eastAsia="MS Mincho"/>
              </w:rPr>
            </w:pPr>
            <w:r w:rsidRPr="004304A2">
              <w:rPr>
                <w:rFonts w:eastAsia="MS Mincho"/>
              </w:rPr>
              <w:t>2017</w:t>
            </w:r>
          </w:p>
        </w:tc>
        <w:tc>
          <w:tcPr>
            <w:tcW w:w="1013" w:type="dxa"/>
          </w:tcPr>
          <w:p w14:paraId="5BEE1897" w14:textId="77777777" w:rsidR="004304A2" w:rsidRPr="004304A2" w:rsidRDefault="004304A2" w:rsidP="004304A2">
            <w:pPr>
              <w:tabs>
                <w:tab w:val="left" w:pos="1140"/>
              </w:tabs>
              <w:spacing w:after="200" w:line="276" w:lineRule="auto"/>
              <w:rPr>
                <w:rFonts w:eastAsia="MS Mincho"/>
              </w:rPr>
            </w:pPr>
            <w:r w:rsidRPr="004304A2">
              <w:rPr>
                <w:rFonts w:eastAsia="MS Mincho"/>
              </w:rPr>
              <w:t>1</w:t>
            </w:r>
          </w:p>
        </w:tc>
        <w:tc>
          <w:tcPr>
            <w:tcW w:w="1021" w:type="dxa"/>
          </w:tcPr>
          <w:p w14:paraId="58324294" w14:textId="77777777" w:rsidR="004304A2" w:rsidRPr="004304A2" w:rsidRDefault="004304A2" w:rsidP="004304A2">
            <w:pPr>
              <w:tabs>
                <w:tab w:val="left" w:pos="1140"/>
              </w:tabs>
              <w:spacing w:after="200" w:line="276" w:lineRule="auto"/>
              <w:rPr>
                <w:rFonts w:eastAsia="MS Mincho"/>
              </w:rPr>
            </w:pPr>
            <w:r w:rsidRPr="004304A2">
              <w:rPr>
                <w:rFonts w:eastAsia="MS Mincho"/>
              </w:rPr>
              <w:t>1.869</w:t>
            </w:r>
          </w:p>
        </w:tc>
        <w:tc>
          <w:tcPr>
            <w:tcW w:w="1193" w:type="dxa"/>
          </w:tcPr>
          <w:p w14:paraId="1B310CEC" w14:textId="77777777" w:rsidR="004304A2" w:rsidRPr="004304A2" w:rsidRDefault="004304A2" w:rsidP="004304A2">
            <w:pPr>
              <w:tabs>
                <w:tab w:val="left" w:pos="1140"/>
              </w:tabs>
              <w:spacing w:after="200" w:line="276" w:lineRule="auto"/>
              <w:rPr>
                <w:rFonts w:eastAsia="MS Mincho"/>
              </w:rPr>
            </w:pPr>
            <w:r w:rsidRPr="004304A2">
              <w:rPr>
                <w:rFonts w:eastAsia="MS Mincho"/>
              </w:rPr>
              <w:t>.0174</w:t>
            </w:r>
          </w:p>
        </w:tc>
        <w:tc>
          <w:tcPr>
            <w:tcW w:w="1260" w:type="dxa"/>
          </w:tcPr>
          <w:p w14:paraId="43C97574" w14:textId="77777777" w:rsidR="004304A2" w:rsidRPr="004304A2" w:rsidRDefault="004304A2" w:rsidP="004304A2">
            <w:pPr>
              <w:tabs>
                <w:tab w:val="left" w:pos="1140"/>
              </w:tabs>
              <w:spacing w:after="200" w:line="276" w:lineRule="auto"/>
              <w:rPr>
                <w:rFonts w:eastAsia="MS Mincho"/>
              </w:rPr>
            </w:pPr>
            <w:r w:rsidRPr="004304A2">
              <w:rPr>
                <w:rFonts w:eastAsia="MS Mincho"/>
              </w:rPr>
              <w:t>0.013</w:t>
            </w:r>
          </w:p>
        </w:tc>
      </w:tr>
      <w:tr w:rsidR="004304A2" w:rsidRPr="004304A2" w14:paraId="6F356BB5" w14:textId="77777777" w:rsidTr="00C93D65">
        <w:tc>
          <w:tcPr>
            <w:tcW w:w="1710" w:type="dxa"/>
            <w:vMerge/>
          </w:tcPr>
          <w:p w14:paraId="3027AA3F" w14:textId="77777777" w:rsidR="004304A2" w:rsidRPr="004304A2" w:rsidRDefault="004304A2" w:rsidP="004304A2">
            <w:pPr>
              <w:tabs>
                <w:tab w:val="left" w:pos="1140"/>
              </w:tabs>
              <w:spacing w:after="200" w:line="276" w:lineRule="auto"/>
              <w:rPr>
                <w:rFonts w:eastAsia="MS Mincho"/>
              </w:rPr>
            </w:pPr>
          </w:p>
        </w:tc>
        <w:tc>
          <w:tcPr>
            <w:tcW w:w="1170" w:type="dxa"/>
          </w:tcPr>
          <w:p w14:paraId="7CBB03F5" w14:textId="77777777" w:rsidR="004304A2" w:rsidRPr="004304A2" w:rsidRDefault="004304A2" w:rsidP="004304A2">
            <w:pPr>
              <w:tabs>
                <w:tab w:val="left" w:pos="1140"/>
              </w:tabs>
              <w:spacing w:after="200" w:line="276" w:lineRule="auto"/>
              <w:rPr>
                <w:rFonts w:eastAsia="MS Mincho"/>
              </w:rPr>
            </w:pPr>
            <w:r w:rsidRPr="004304A2">
              <w:rPr>
                <w:rFonts w:eastAsia="MS Mincho"/>
              </w:rPr>
              <w:t xml:space="preserve">Reading </w:t>
            </w:r>
          </w:p>
        </w:tc>
        <w:tc>
          <w:tcPr>
            <w:tcW w:w="1620" w:type="dxa"/>
          </w:tcPr>
          <w:p w14:paraId="2D93BC60" w14:textId="77777777" w:rsidR="004304A2" w:rsidRPr="004304A2" w:rsidRDefault="004304A2" w:rsidP="004304A2">
            <w:pPr>
              <w:tabs>
                <w:tab w:val="left" w:pos="1140"/>
              </w:tabs>
              <w:spacing w:after="200" w:line="276" w:lineRule="auto"/>
              <w:rPr>
                <w:rFonts w:eastAsia="MS Mincho"/>
              </w:rPr>
            </w:pPr>
            <w:r w:rsidRPr="004304A2">
              <w:rPr>
                <w:rFonts w:eastAsia="MS Mincho"/>
              </w:rPr>
              <w:t xml:space="preserve">2017 </w:t>
            </w:r>
          </w:p>
        </w:tc>
        <w:tc>
          <w:tcPr>
            <w:tcW w:w="1013" w:type="dxa"/>
          </w:tcPr>
          <w:p w14:paraId="17AE77C8" w14:textId="77777777" w:rsidR="004304A2" w:rsidRPr="004304A2" w:rsidRDefault="004304A2" w:rsidP="004304A2">
            <w:pPr>
              <w:tabs>
                <w:tab w:val="left" w:pos="1140"/>
              </w:tabs>
              <w:spacing w:after="200" w:line="276" w:lineRule="auto"/>
              <w:rPr>
                <w:rFonts w:eastAsia="MS Mincho"/>
              </w:rPr>
            </w:pPr>
            <w:r w:rsidRPr="004304A2">
              <w:rPr>
                <w:rFonts w:eastAsia="MS Mincho"/>
              </w:rPr>
              <w:t>1</w:t>
            </w:r>
          </w:p>
        </w:tc>
        <w:tc>
          <w:tcPr>
            <w:tcW w:w="1021" w:type="dxa"/>
          </w:tcPr>
          <w:p w14:paraId="1B360362" w14:textId="77777777" w:rsidR="004304A2" w:rsidRPr="004304A2" w:rsidRDefault="004304A2" w:rsidP="004304A2">
            <w:pPr>
              <w:tabs>
                <w:tab w:val="left" w:pos="1140"/>
              </w:tabs>
              <w:spacing w:after="200" w:line="276" w:lineRule="auto"/>
              <w:rPr>
                <w:rFonts w:eastAsia="MS Mincho"/>
              </w:rPr>
            </w:pPr>
            <w:r w:rsidRPr="004304A2">
              <w:rPr>
                <w:rFonts w:eastAsia="MS Mincho"/>
              </w:rPr>
              <w:t>0.716</w:t>
            </w:r>
          </w:p>
        </w:tc>
        <w:tc>
          <w:tcPr>
            <w:tcW w:w="1193" w:type="dxa"/>
          </w:tcPr>
          <w:p w14:paraId="022C8446" w14:textId="77777777" w:rsidR="004304A2" w:rsidRPr="004304A2" w:rsidRDefault="004304A2" w:rsidP="004304A2">
            <w:pPr>
              <w:tabs>
                <w:tab w:val="left" w:pos="1140"/>
              </w:tabs>
              <w:spacing w:after="200" w:line="276" w:lineRule="auto"/>
              <w:rPr>
                <w:rFonts w:eastAsia="MS Mincho"/>
              </w:rPr>
            </w:pPr>
            <w:r w:rsidRPr="004304A2">
              <w:rPr>
                <w:rFonts w:eastAsia="MS Mincho"/>
              </w:rPr>
              <w:t>0.399</w:t>
            </w:r>
          </w:p>
        </w:tc>
        <w:tc>
          <w:tcPr>
            <w:tcW w:w="1260" w:type="dxa"/>
          </w:tcPr>
          <w:p w14:paraId="00DB115A" w14:textId="77777777" w:rsidR="004304A2" w:rsidRPr="004304A2" w:rsidRDefault="004304A2" w:rsidP="004304A2">
            <w:pPr>
              <w:tabs>
                <w:tab w:val="left" w:pos="1140"/>
              </w:tabs>
              <w:spacing w:after="200" w:line="276" w:lineRule="auto"/>
              <w:rPr>
                <w:rFonts w:eastAsia="MS Mincho"/>
              </w:rPr>
            </w:pPr>
            <w:r w:rsidRPr="004304A2">
              <w:rPr>
                <w:rFonts w:eastAsia="MS Mincho"/>
              </w:rPr>
              <w:t>0.005</w:t>
            </w:r>
          </w:p>
        </w:tc>
      </w:tr>
      <w:tr w:rsidR="004304A2" w:rsidRPr="004304A2" w14:paraId="158C7CBB" w14:textId="77777777" w:rsidTr="00C93D65">
        <w:tc>
          <w:tcPr>
            <w:tcW w:w="1710" w:type="dxa"/>
            <w:vMerge w:val="restart"/>
          </w:tcPr>
          <w:p w14:paraId="6F71F090" w14:textId="77777777" w:rsidR="004304A2" w:rsidRPr="004304A2" w:rsidRDefault="004304A2" w:rsidP="004304A2">
            <w:pPr>
              <w:tabs>
                <w:tab w:val="left" w:pos="1140"/>
              </w:tabs>
              <w:spacing w:after="200" w:line="276" w:lineRule="auto"/>
              <w:rPr>
                <w:rFonts w:eastAsia="MS Mincho"/>
              </w:rPr>
            </w:pPr>
            <w:r w:rsidRPr="004304A2">
              <w:rPr>
                <w:rFonts w:eastAsia="MS Mincho"/>
              </w:rPr>
              <w:t>Third</w:t>
            </w:r>
          </w:p>
        </w:tc>
        <w:tc>
          <w:tcPr>
            <w:tcW w:w="1170" w:type="dxa"/>
          </w:tcPr>
          <w:p w14:paraId="0126AE0A" w14:textId="77777777" w:rsidR="004304A2" w:rsidRPr="004304A2" w:rsidRDefault="004304A2" w:rsidP="004304A2">
            <w:pPr>
              <w:tabs>
                <w:tab w:val="left" w:pos="1140"/>
              </w:tabs>
              <w:spacing w:after="200" w:line="276" w:lineRule="auto"/>
              <w:rPr>
                <w:rFonts w:eastAsia="MS Mincho"/>
              </w:rPr>
            </w:pPr>
            <w:r w:rsidRPr="004304A2">
              <w:rPr>
                <w:rFonts w:eastAsia="MS Mincho"/>
              </w:rPr>
              <w:t xml:space="preserve">Math </w:t>
            </w:r>
          </w:p>
        </w:tc>
        <w:tc>
          <w:tcPr>
            <w:tcW w:w="1620" w:type="dxa"/>
          </w:tcPr>
          <w:p w14:paraId="43EF747F" w14:textId="77777777" w:rsidR="004304A2" w:rsidRPr="004304A2" w:rsidRDefault="004304A2" w:rsidP="004304A2">
            <w:pPr>
              <w:tabs>
                <w:tab w:val="left" w:pos="1140"/>
              </w:tabs>
              <w:spacing w:after="200" w:line="276" w:lineRule="auto"/>
              <w:rPr>
                <w:rFonts w:eastAsia="MS Mincho"/>
              </w:rPr>
            </w:pPr>
            <w:r w:rsidRPr="004304A2">
              <w:rPr>
                <w:rFonts w:eastAsia="MS Mincho"/>
              </w:rPr>
              <w:t>2017</w:t>
            </w:r>
          </w:p>
        </w:tc>
        <w:tc>
          <w:tcPr>
            <w:tcW w:w="1013" w:type="dxa"/>
          </w:tcPr>
          <w:p w14:paraId="54551530" w14:textId="77777777" w:rsidR="004304A2" w:rsidRPr="004304A2" w:rsidRDefault="004304A2" w:rsidP="004304A2">
            <w:pPr>
              <w:tabs>
                <w:tab w:val="left" w:pos="1140"/>
              </w:tabs>
              <w:spacing w:after="200" w:line="276" w:lineRule="auto"/>
              <w:rPr>
                <w:rFonts w:eastAsia="MS Mincho"/>
              </w:rPr>
            </w:pPr>
            <w:r w:rsidRPr="004304A2">
              <w:rPr>
                <w:rFonts w:eastAsia="MS Mincho"/>
              </w:rPr>
              <w:t>1</w:t>
            </w:r>
          </w:p>
        </w:tc>
        <w:tc>
          <w:tcPr>
            <w:tcW w:w="1021" w:type="dxa"/>
          </w:tcPr>
          <w:p w14:paraId="5F1AAAB4" w14:textId="77777777" w:rsidR="004304A2" w:rsidRPr="004304A2" w:rsidRDefault="004304A2" w:rsidP="004304A2">
            <w:pPr>
              <w:tabs>
                <w:tab w:val="left" w:pos="1140"/>
              </w:tabs>
              <w:spacing w:after="200" w:line="276" w:lineRule="auto"/>
              <w:rPr>
                <w:rFonts w:eastAsia="MS Mincho"/>
              </w:rPr>
            </w:pPr>
            <w:r w:rsidRPr="004304A2">
              <w:rPr>
                <w:rFonts w:eastAsia="MS Mincho"/>
              </w:rPr>
              <w:t>0.189</w:t>
            </w:r>
          </w:p>
        </w:tc>
        <w:tc>
          <w:tcPr>
            <w:tcW w:w="1193" w:type="dxa"/>
          </w:tcPr>
          <w:p w14:paraId="1D13942F" w14:textId="77777777" w:rsidR="004304A2" w:rsidRPr="004304A2" w:rsidRDefault="004304A2" w:rsidP="004304A2">
            <w:pPr>
              <w:tabs>
                <w:tab w:val="left" w:pos="1140"/>
              </w:tabs>
              <w:spacing w:after="200" w:line="276" w:lineRule="auto"/>
              <w:rPr>
                <w:rFonts w:eastAsia="MS Mincho"/>
              </w:rPr>
            </w:pPr>
            <w:r w:rsidRPr="004304A2">
              <w:rPr>
                <w:rFonts w:eastAsia="MS Mincho"/>
              </w:rPr>
              <w:t>0.666</w:t>
            </w:r>
          </w:p>
        </w:tc>
        <w:tc>
          <w:tcPr>
            <w:tcW w:w="1260" w:type="dxa"/>
          </w:tcPr>
          <w:p w14:paraId="13288BEB" w14:textId="77777777" w:rsidR="004304A2" w:rsidRPr="004304A2" w:rsidRDefault="004304A2" w:rsidP="004304A2">
            <w:pPr>
              <w:tabs>
                <w:tab w:val="left" w:pos="1140"/>
              </w:tabs>
              <w:spacing w:after="200" w:line="276" w:lineRule="auto"/>
              <w:rPr>
                <w:rFonts w:eastAsia="MS Mincho"/>
              </w:rPr>
            </w:pPr>
            <w:r w:rsidRPr="004304A2">
              <w:rPr>
                <w:rFonts w:eastAsia="MS Mincho"/>
              </w:rPr>
              <w:t>0.003</w:t>
            </w:r>
          </w:p>
        </w:tc>
      </w:tr>
      <w:tr w:rsidR="004304A2" w:rsidRPr="004304A2" w14:paraId="038BA2F4" w14:textId="77777777" w:rsidTr="00C93D65">
        <w:tc>
          <w:tcPr>
            <w:tcW w:w="1710" w:type="dxa"/>
            <w:vMerge/>
          </w:tcPr>
          <w:p w14:paraId="4999DAEA" w14:textId="77777777" w:rsidR="004304A2" w:rsidRPr="004304A2" w:rsidRDefault="004304A2" w:rsidP="004304A2">
            <w:pPr>
              <w:tabs>
                <w:tab w:val="left" w:pos="1140"/>
              </w:tabs>
              <w:spacing w:after="200" w:line="276" w:lineRule="auto"/>
              <w:rPr>
                <w:rFonts w:eastAsia="MS Mincho"/>
              </w:rPr>
            </w:pPr>
          </w:p>
        </w:tc>
        <w:tc>
          <w:tcPr>
            <w:tcW w:w="1170" w:type="dxa"/>
          </w:tcPr>
          <w:p w14:paraId="2E7019B4" w14:textId="77777777" w:rsidR="004304A2" w:rsidRPr="004304A2" w:rsidRDefault="004304A2" w:rsidP="004304A2">
            <w:pPr>
              <w:tabs>
                <w:tab w:val="left" w:pos="1140"/>
              </w:tabs>
              <w:spacing w:after="200" w:line="276" w:lineRule="auto"/>
              <w:rPr>
                <w:rFonts w:eastAsia="MS Mincho"/>
              </w:rPr>
            </w:pPr>
            <w:r w:rsidRPr="004304A2">
              <w:rPr>
                <w:rFonts w:eastAsia="MS Mincho"/>
              </w:rPr>
              <w:t>Reading</w:t>
            </w:r>
          </w:p>
        </w:tc>
        <w:tc>
          <w:tcPr>
            <w:tcW w:w="1620" w:type="dxa"/>
          </w:tcPr>
          <w:p w14:paraId="1D96C7F0" w14:textId="77777777" w:rsidR="004304A2" w:rsidRPr="004304A2" w:rsidRDefault="004304A2" w:rsidP="004304A2">
            <w:pPr>
              <w:tabs>
                <w:tab w:val="left" w:pos="1140"/>
              </w:tabs>
              <w:spacing w:after="200" w:line="276" w:lineRule="auto"/>
              <w:rPr>
                <w:rFonts w:eastAsia="MS Mincho"/>
              </w:rPr>
            </w:pPr>
            <w:r w:rsidRPr="004304A2">
              <w:rPr>
                <w:rFonts w:eastAsia="MS Mincho"/>
              </w:rPr>
              <w:t>2017</w:t>
            </w:r>
          </w:p>
        </w:tc>
        <w:tc>
          <w:tcPr>
            <w:tcW w:w="1013" w:type="dxa"/>
          </w:tcPr>
          <w:p w14:paraId="3C8108D8" w14:textId="77777777" w:rsidR="004304A2" w:rsidRPr="004304A2" w:rsidRDefault="004304A2" w:rsidP="004304A2">
            <w:pPr>
              <w:tabs>
                <w:tab w:val="left" w:pos="1140"/>
              </w:tabs>
              <w:spacing w:after="200" w:line="276" w:lineRule="auto"/>
              <w:rPr>
                <w:rFonts w:eastAsia="MS Mincho"/>
              </w:rPr>
            </w:pPr>
            <w:r w:rsidRPr="004304A2">
              <w:rPr>
                <w:rFonts w:eastAsia="MS Mincho"/>
              </w:rPr>
              <w:t>1</w:t>
            </w:r>
          </w:p>
        </w:tc>
        <w:tc>
          <w:tcPr>
            <w:tcW w:w="1021" w:type="dxa"/>
          </w:tcPr>
          <w:p w14:paraId="3D3D2B53" w14:textId="77777777" w:rsidR="004304A2" w:rsidRPr="004304A2" w:rsidRDefault="004304A2" w:rsidP="004304A2">
            <w:pPr>
              <w:tabs>
                <w:tab w:val="left" w:pos="1140"/>
              </w:tabs>
              <w:spacing w:after="200" w:line="276" w:lineRule="auto"/>
              <w:rPr>
                <w:rFonts w:eastAsia="MS Mincho"/>
              </w:rPr>
            </w:pPr>
            <w:r w:rsidRPr="004304A2">
              <w:rPr>
                <w:rFonts w:eastAsia="MS Mincho"/>
              </w:rPr>
              <w:t>0.194</w:t>
            </w:r>
          </w:p>
        </w:tc>
        <w:tc>
          <w:tcPr>
            <w:tcW w:w="1193" w:type="dxa"/>
          </w:tcPr>
          <w:p w14:paraId="6EB3D55C" w14:textId="77777777" w:rsidR="004304A2" w:rsidRPr="004304A2" w:rsidRDefault="004304A2" w:rsidP="004304A2">
            <w:pPr>
              <w:tabs>
                <w:tab w:val="left" w:pos="1140"/>
              </w:tabs>
              <w:spacing w:after="200" w:line="276" w:lineRule="auto"/>
              <w:rPr>
                <w:rFonts w:eastAsia="MS Mincho"/>
              </w:rPr>
            </w:pPr>
            <w:r w:rsidRPr="004304A2">
              <w:rPr>
                <w:rFonts w:eastAsia="MS Mincho"/>
              </w:rPr>
              <w:t>0.662</w:t>
            </w:r>
          </w:p>
        </w:tc>
        <w:tc>
          <w:tcPr>
            <w:tcW w:w="1260" w:type="dxa"/>
          </w:tcPr>
          <w:p w14:paraId="040D0BD5" w14:textId="77777777" w:rsidR="004304A2" w:rsidRPr="004304A2" w:rsidRDefault="004304A2" w:rsidP="004304A2">
            <w:pPr>
              <w:tabs>
                <w:tab w:val="left" w:pos="1140"/>
              </w:tabs>
              <w:spacing w:after="200" w:line="276" w:lineRule="auto"/>
              <w:rPr>
                <w:rFonts w:eastAsia="MS Mincho"/>
              </w:rPr>
            </w:pPr>
            <w:r w:rsidRPr="004304A2">
              <w:rPr>
                <w:rFonts w:eastAsia="MS Mincho"/>
              </w:rPr>
              <w:t>0.004</w:t>
            </w:r>
          </w:p>
        </w:tc>
      </w:tr>
      <w:tr w:rsidR="004304A2" w:rsidRPr="004304A2" w14:paraId="54D9DD68" w14:textId="77777777" w:rsidTr="00C93D65">
        <w:tc>
          <w:tcPr>
            <w:tcW w:w="1710" w:type="dxa"/>
            <w:vMerge w:val="restart"/>
          </w:tcPr>
          <w:p w14:paraId="1EF72370" w14:textId="77777777" w:rsidR="004304A2" w:rsidRPr="004304A2" w:rsidRDefault="004304A2" w:rsidP="004304A2">
            <w:pPr>
              <w:tabs>
                <w:tab w:val="left" w:pos="1140"/>
              </w:tabs>
              <w:spacing w:after="200" w:line="276" w:lineRule="auto"/>
              <w:rPr>
                <w:rFonts w:eastAsia="MS Mincho"/>
              </w:rPr>
            </w:pPr>
            <w:r w:rsidRPr="004304A2">
              <w:rPr>
                <w:rFonts w:eastAsia="MS Mincho"/>
              </w:rPr>
              <w:t xml:space="preserve">Fourth </w:t>
            </w:r>
          </w:p>
        </w:tc>
        <w:tc>
          <w:tcPr>
            <w:tcW w:w="1170" w:type="dxa"/>
          </w:tcPr>
          <w:p w14:paraId="0A174D64" w14:textId="77777777" w:rsidR="004304A2" w:rsidRPr="004304A2" w:rsidRDefault="004304A2" w:rsidP="004304A2">
            <w:pPr>
              <w:tabs>
                <w:tab w:val="left" w:pos="1140"/>
              </w:tabs>
              <w:spacing w:after="200" w:line="276" w:lineRule="auto"/>
              <w:rPr>
                <w:rFonts w:eastAsia="MS Mincho"/>
              </w:rPr>
            </w:pPr>
            <w:r w:rsidRPr="004304A2">
              <w:rPr>
                <w:rFonts w:eastAsia="MS Mincho"/>
              </w:rPr>
              <w:t xml:space="preserve">Math </w:t>
            </w:r>
          </w:p>
        </w:tc>
        <w:tc>
          <w:tcPr>
            <w:tcW w:w="1620" w:type="dxa"/>
          </w:tcPr>
          <w:p w14:paraId="3B00B6AB" w14:textId="77777777" w:rsidR="004304A2" w:rsidRPr="004304A2" w:rsidRDefault="004304A2" w:rsidP="004304A2">
            <w:pPr>
              <w:tabs>
                <w:tab w:val="left" w:pos="1140"/>
              </w:tabs>
              <w:spacing w:after="200" w:line="276" w:lineRule="auto"/>
              <w:rPr>
                <w:rFonts w:eastAsia="MS Mincho"/>
              </w:rPr>
            </w:pPr>
            <w:r w:rsidRPr="004304A2">
              <w:rPr>
                <w:rFonts w:eastAsia="MS Mincho"/>
              </w:rPr>
              <w:t xml:space="preserve">2017 </w:t>
            </w:r>
          </w:p>
        </w:tc>
        <w:tc>
          <w:tcPr>
            <w:tcW w:w="1013" w:type="dxa"/>
          </w:tcPr>
          <w:p w14:paraId="256C8096" w14:textId="77777777" w:rsidR="004304A2" w:rsidRPr="004304A2" w:rsidRDefault="004304A2" w:rsidP="004304A2">
            <w:pPr>
              <w:tabs>
                <w:tab w:val="left" w:pos="1140"/>
              </w:tabs>
              <w:spacing w:after="200" w:line="276" w:lineRule="auto"/>
              <w:rPr>
                <w:rFonts w:eastAsia="MS Mincho"/>
              </w:rPr>
            </w:pPr>
            <w:r w:rsidRPr="004304A2">
              <w:rPr>
                <w:rFonts w:eastAsia="MS Mincho"/>
              </w:rPr>
              <w:t>1</w:t>
            </w:r>
          </w:p>
        </w:tc>
        <w:tc>
          <w:tcPr>
            <w:tcW w:w="1021" w:type="dxa"/>
          </w:tcPr>
          <w:p w14:paraId="4E8DB263" w14:textId="77777777" w:rsidR="004304A2" w:rsidRPr="004304A2" w:rsidRDefault="004304A2" w:rsidP="004304A2">
            <w:pPr>
              <w:tabs>
                <w:tab w:val="left" w:pos="1140"/>
              </w:tabs>
              <w:spacing w:after="200" w:line="276" w:lineRule="auto"/>
              <w:rPr>
                <w:rFonts w:eastAsia="MS Mincho"/>
              </w:rPr>
            </w:pPr>
            <w:r w:rsidRPr="004304A2">
              <w:rPr>
                <w:rFonts w:eastAsia="MS Mincho"/>
              </w:rPr>
              <w:t>0.014</w:t>
            </w:r>
          </w:p>
        </w:tc>
        <w:tc>
          <w:tcPr>
            <w:tcW w:w="1193" w:type="dxa"/>
          </w:tcPr>
          <w:p w14:paraId="2D016D23" w14:textId="77777777" w:rsidR="004304A2" w:rsidRPr="004304A2" w:rsidRDefault="004304A2" w:rsidP="004304A2">
            <w:pPr>
              <w:tabs>
                <w:tab w:val="left" w:pos="1140"/>
              </w:tabs>
              <w:spacing w:after="200" w:line="276" w:lineRule="auto"/>
              <w:rPr>
                <w:rFonts w:eastAsia="MS Mincho"/>
              </w:rPr>
            </w:pPr>
            <w:r w:rsidRPr="004304A2">
              <w:rPr>
                <w:rFonts w:eastAsia="MS Mincho"/>
              </w:rPr>
              <w:t>0.905</w:t>
            </w:r>
          </w:p>
        </w:tc>
        <w:tc>
          <w:tcPr>
            <w:tcW w:w="1260" w:type="dxa"/>
          </w:tcPr>
          <w:p w14:paraId="2AC4A425" w14:textId="77777777" w:rsidR="004304A2" w:rsidRPr="004304A2" w:rsidRDefault="004304A2" w:rsidP="004304A2">
            <w:pPr>
              <w:tabs>
                <w:tab w:val="left" w:pos="1140"/>
              </w:tabs>
              <w:spacing w:after="200" w:line="276" w:lineRule="auto"/>
              <w:rPr>
                <w:rFonts w:eastAsia="MS Mincho"/>
              </w:rPr>
            </w:pPr>
            <w:r w:rsidRPr="004304A2">
              <w:rPr>
                <w:rFonts w:eastAsia="MS Mincho"/>
              </w:rPr>
              <w:t>0.000</w:t>
            </w:r>
          </w:p>
        </w:tc>
      </w:tr>
      <w:tr w:rsidR="004304A2" w:rsidRPr="004304A2" w14:paraId="307F696B" w14:textId="77777777" w:rsidTr="00C93D65">
        <w:tc>
          <w:tcPr>
            <w:tcW w:w="1710" w:type="dxa"/>
            <w:vMerge/>
          </w:tcPr>
          <w:p w14:paraId="450FC0F0" w14:textId="77777777" w:rsidR="004304A2" w:rsidRPr="004304A2" w:rsidRDefault="004304A2" w:rsidP="004304A2">
            <w:pPr>
              <w:tabs>
                <w:tab w:val="left" w:pos="1140"/>
              </w:tabs>
              <w:spacing w:after="200" w:line="276" w:lineRule="auto"/>
              <w:rPr>
                <w:rFonts w:eastAsia="MS Mincho"/>
              </w:rPr>
            </w:pPr>
          </w:p>
        </w:tc>
        <w:tc>
          <w:tcPr>
            <w:tcW w:w="1170" w:type="dxa"/>
          </w:tcPr>
          <w:p w14:paraId="08698F15" w14:textId="77777777" w:rsidR="004304A2" w:rsidRPr="004304A2" w:rsidRDefault="004304A2" w:rsidP="004304A2">
            <w:pPr>
              <w:tabs>
                <w:tab w:val="left" w:pos="1140"/>
              </w:tabs>
              <w:spacing w:after="200" w:line="276" w:lineRule="auto"/>
              <w:rPr>
                <w:rFonts w:eastAsia="MS Mincho"/>
              </w:rPr>
            </w:pPr>
            <w:r w:rsidRPr="004304A2">
              <w:rPr>
                <w:rFonts w:eastAsia="MS Mincho"/>
              </w:rPr>
              <w:t>Reading</w:t>
            </w:r>
          </w:p>
        </w:tc>
        <w:tc>
          <w:tcPr>
            <w:tcW w:w="1620" w:type="dxa"/>
          </w:tcPr>
          <w:p w14:paraId="54A2CE94" w14:textId="77777777" w:rsidR="004304A2" w:rsidRPr="004304A2" w:rsidRDefault="004304A2" w:rsidP="004304A2">
            <w:pPr>
              <w:tabs>
                <w:tab w:val="left" w:pos="1140"/>
              </w:tabs>
              <w:spacing w:after="200" w:line="276" w:lineRule="auto"/>
              <w:rPr>
                <w:rFonts w:eastAsia="MS Mincho"/>
              </w:rPr>
            </w:pPr>
            <w:r w:rsidRPr="004304A2">
              <w:rPr>
                <w:rFonts w:eastAsia="MS Mincho"/>
              </w:rPr>
              <w:t>2017</w:t>
            </w:r>
          </w:p>
        </w:tc>
        <w:tc>
          <w:tcPr>
            <w:tcW w:w="1013" w:type="dxa"/>
          </w:tcPr>
          <w:p w14:paraId="04DBD537" w14:textId="77777777" w:rsidR="004304A2" w:rsidRPr="004304A2" w:rsidRDefault="004304A2" w:rsidP="004304A2">
            <w:pPr>
              <w:tabs>
                <w:tab w:val="left" w:pos="1140"/>
              </w:tabs>
              <w:spacing w:after="200" w:line="276" w:lineRule="auto"/>
              <w:rPr>
                <w:rFonts w:eastAsia="MS Mincho"/>
              </w:rPr>
            </w:pPr>
            <w:r w:rsidRPr="004304A2">
              <w:rPr>
                <w:rFonts w:eastAsia="MS Mincho"/>
              </w:rPr>
              <w:t>1</w:t>
            </w:r>
          </w:p>
        </w:tc>
        <w:tc>
          <w:tcPr>
            <w:tcW w:w="1021" w:type="dxa"/>
          </w:tcPr>
          <w:p w14:paraId="008F6378" w14:textId="77777777" w:rsidR="004304A2" w:rsidRPr="004304A2" w:rsidRDefault="004304A2" w:rsidP="004304A2">
            <w:pPr>
              <w:tabs>
                <w:tab w:val="left" w:pos="1140"/>
              </w:tabs>
              <w:spacing w:after="200" w:line="276" w:lineRule="auto"/>
              <w:rPr>
                <w:rFonts w:eastAsia="MS Mincho"/>
              </w:rPr>
            </w:pPr>
            <w:r w:rsidRPr="004304A2">
              <w:rPr>
                <w:rFonts w:eastAsia="MS Mincho"/>
              </w:rPr>
              <w:t>0.200</w:t>
            </w:r>
          </w:p>
        </w:tc>
        <w:tc>
          <w:tcPr>
            <w:tcW w:w="1193" w:type="dxa"/>
          </w:tcPr>
          <w:p w14:paraId="17E7A6D2" w14:textId="77777777" w:rsidR="004304A2" w:rsidRPr="004304A2" w:rsidRDefault="004304A2" w:rsidP="004304A2">
            <w:pPr>
              <w:tabs>
                <w:tab w:val="left" w:pos="1140"/>
              </w:tabs>
              <w:spacing w:after="200" w:line="276" w:lineRule="auto"/>
              <w:rPr>
                <w:rFonts w:eastAsia="MS Mincho"/>
              </w:rPr>
            </w:pPr>
            <w:r w:rsidRPr="004304A2">
              <w:rPr>
                <w:rFonts w:eastAsia="MS Mincho"/>
              </w:rPr>
              <w:t>.0656</w:t>
            </w:r>
          </w:p>
        </w:tc>
        <w:tc>
          <w:tcPr>
            <w:tcW w:w="1260" w:type="dxa"/>
          </w:tcPr>
          <w:p w14:paraId="2CF790EC" w14:textId="77777777" w:rsidR="004304A2" w:rsidRPr="004304A2" w:rsidRDefault="004304A2" w:rsidP="004304A2">
            <w:pPr>
              <w:tabs>
                <w:tab w:val="left" w:pos="1140"/>
              </w:tabs>
              <w:spacing w:after="200" w:line="276" w:lineRule="auto"/>
              <w:rPr>
                <w:rFonts w:eastAsia="MS Mincho"/>
              </w:rPr>
            </w:pPr>
            <w:r w:rsidRPr="004304A2">
              <w:rPr>
                <w:rFonts w:eastAsia="MS Mincho"/>
              </w:rPr>
              <w:t>0.003</w:t>
            </w:r>
          </w:p>
        </w:tc>
      </w:tr>
    </w:tbl>
    <w:p w14:paraId="22FBE821" w14:textId="77777777" w:rsidR="004304A2" w:rsidRDefault="004304A2" w:rsidP="004304A2">
      <w:pPr>
        <w:tabs>
          <w:tab w:val="left" w:pos="1140"/>
        </w:tabs>
        <w:spacing w:after="200" w:line="276" w:lineRule="auto"/>
        <w:rPr>
          <w:rFonts w:eastAsia="Calibri"/>
          <w:i/>
        </w:rPr>
      </w:pPr>
      <w:r w:rsidRPr="004304A2">
        <w:rPr>
          <w:rFonts w:eastAsia="Calibri"/>
        </w:rPr>
        <w:t xml:space="preserve">(*)  </w:t>
      </w:r>
      <w:r w:rsidRPr="004304A2">
        <w:rPr>
          <w:rFonts w:eastAsia="Calibri"/>
          <w:i/>
        </w:rPr>
        <w:t>Significant at a= 0.0</w:t>
      </w:r>
      <w:r w:rsidR="000F6264">
        <w:rPr>
          <w:rFonts w:eastAsia="Calibri"/>
          <w:i/>
        </w:rPr>
        <w:t>5</w:t>
      </w:r>
    </w:p>
    <w:p w14:paraId="3505094D" w14:textId="77777777" w:rsidR="00DA2CAB" w:rsidRDefault="00DA2CAB" w:rsidP="004304A2">
      <w:pPr>
        <w:tabs>
          <w:tab w:val="left" w:pos="1140"/>
        </w:tabs>
        <w:spacing w:after="200" w:line="276" w:lineRule="auto"/>
        <w:rPr>
          <w:rFonts w:eastAsia="Calibri"/>
          <w:i/>
        </w:rPr>
      </w:pPr>
    </w:p>
    <w:tbl>
      <w:tblPr>
        <w:tblStyle w:val="TableGrid"/>
        <w:tblW w:w="0" w:type="auto"/>
        <w:tblLook w:val="04A0" w:firstRow="1" w:lastRow="0" w:firstColumn="1" w:lastColumn="0" w:noHBand="0" w:noVBand="1"/>
      </w:tblPr>
      <w:tblGrid>
        <w:gridCol w:w="9350"/>
      </w:tblGrid>
      <w:tr w:rsidR="00D402B2" w14:paraId="3F9747EA" w14:textId="77777777" w:rsidTr="00D402B2">
        <w:tc>
          <w:tcPr>
            <w:tcW w:w="9350" w:type="dxa"/>
          </w:tcPr>
          <w:p w14:paraId="1D429FDC" w14:textId="77777777" w:rsidR="00D402B2" w:rsidRPr="00DA2CAB" w:rsidRDefault="00D402B2" w:rsidP="00D402B2">
            <w:pPr>
              <w:tabs>
                <w:tab w:val="left" w:pos="1140"/>
              </w:tabs>
              <w:spacing w:line="276" w:lineRule="auto"/>
              <w:rPr>
                <w:rFonts w:eastAsia="Calibri"/>
              </w:rPr>
            </w:pPr>
            <w:r w:rsidRPr="00DA2CAB">
              <w:rPr>
                <w:rFonts w:eastAsia="Calibri"/>
                <w:b/>
              </w:rPr>
              <w:t>Douglas Busman</w:t>
            </w:r>
            <w:r w:rsidRPr="00DA2CAB">
              <w:rPr>
                <w:rFonts w:eastAsia="Calibri"/>
              </w:rPr>
              <w:t xml:space="preserve">, PhD, is associate professor, graduate instruction and curriculum, at the College of Education, Grand Valley State University.  </w:t>
            </w:r>
          </w:p>
          <w:p w14:paraId="1FFB84B1" w14:textId="77777777" w:rsidR="00D402B2" w:rsidRPr="00DA2CAB" w:rsidRDefault="00D402B2" w:rsidP="00D402B2">
            <w:pPr>
              <w:tabs>
                <w:tab w:val="left" w:pos="1140"/>
              </w:tabs>
              <w:spacing w:line="276" w:lineRule="auto"/>
              <w:rPr>
                <w:rFonts w:eastAsia="Calibri"/>
              </w:rPr>
            </w:pPr>
            <w:r w:rsidRPr="00DA2CAB">
              <w:rPr>
                <w:rFonts w:eastAsia="Calibri"/>
                <w:b/>
              </w:rPr>
              <w:t xml:space="preserve">Fatma </w:t>
            </w:r>
            <w:proofErr w:type="spellStart"/>
            <w:r w:rsidRPr="00DA2CAB">
              <w:rPr>
                <w:rFonts w:eastAsia="Calibri"/>
                <w:b/>
              </w:rPr>
              <w:t>Ayaad</w:t>
            </w:r>
            <w:proofErr w:type="spellEnd"/>
            <w:r w:rsidRPr="00DA2CAB">
              <w:rPr>
                <w:rFonts w:eastAsia="Calibri"/>
              </w:rPr>
              <w:t>, PhD, served as a research analyst for teacher education at the College of Education, Grand Valley State University.</w:t>
            </w:r>
          </w:p>
          <w:p w14:paraId="0F1E3A41" w14:textId="77777777" w:rsidR="00D402B2" w:rsidRPr="00DA2CAB" w:rsidRDefault="00D402B2" w:rsidP="00D402B2">
            <w:pPr>
              <w:tabs>
                <w:tab w:val="left" w:pos="1140"/>
              </w:tabs>
              <w:spacing w:line="276" w:lineRule="auto"/>
              <w:rPr>
                <w:rFonts w:eastAsia="Calibri"/>
              </w:rPr>
            </w:pPr>
            <w:r w:rsidRPr="00DA2CAB">
              <w:rPr>
                <w:rFonts w:eastAsia="Calibri"/>
                <w:b/>
              </w:rPr>
              <w:t>Sheryl Vlietstra</w:t>
            </w:r>
            <w:r w:rsidRPr="00DA2CAB">
              <w:rPr>
                <w:rFonts w:eastAsia="Calibri"/>
              </w:rPr>
              <w:t xml:space="preserve">, MEd, is affiliate professor, teacher education, at the College of Education, Grand Valley State University.  </w:t>
            </w:r>
          </w:p>
          <w:p w14:paraId="15AD976F" w14:textId="77777777" w:rsidR="00D402B2" w:rsidRDefault="00DA2CAB" w:rsidP="00DA2CAB">
            <w:pPr>
              <w:tabs>
                <w:tab w:val="left" w:pos="1140"/>
              </w:tabs>
              <w:spacing w:line="276" w:lineRule="auto"/>
              <w:rPr>
                <w:rFonts w:eastAsia="Calibri"/>
                <w:i/>
              </w:rPr>
            </w:pPr>
            <w:r w:rsidRPr="00DA2CAB">
              <w:rPr>
                <w:rFonts w:eastAsia="Calibri"/>
                <w:b/>
              </w:rPr>
              <w:t>Paula Lancaster</w:t>
            </w:r>
            <w:r w:rsidRPr="00DA2CAB">
              <w:rPr>
                <w:rFonts w:eastAsia="Calibri"/>
              </w:rPr>
              <w:t>, PhD, is professor and director of teacher education at the College of Education, Grand Valley State University.</w:t>
            </w:r>
          </w:p>
        </w:tc>
      </w:tr>
    </w:tbl>
    <w:p w14:paraId="29AEC240" w14:textId="77777777" w:rsidR="000F6264" w:rsidRPr="004304A2" w:rsidRDefault="000F6264" w:rsidP="00155908">
      <w:pPr>
        <w:tabs>
          <w:tab w:val="left" w:pos="1140"/>
        </w:tabs>
        <w:spacing w:line="276" w:lineRule="auto"/>
        <w:rPr>
          <w:rFonts w:eastAsia="Calibri"/>
          <w:i/>
        </w:rPr>
        <w:sectPr w:rsidR="000F6264" w:rsidRPr="004304A2" w:rsidSect="00C93D65">
          <w:pgSz w:w="12240" w:h="15840"/>
          <w:pgMar w:top="1440" w:right="1440" w:bottom="1440" w:left="1440" w:header="720" w:footer="720" w:gutter="0"/>
          <w:cols w:space="720"/>
          <w:titlePg/>
          <w:docGrid w:linePitch="360"/>
        </w:sectPr>
      </w:pPr>
    </w:p>
    <w:p w14:paraId="305ED224" w14:textId="77777777" w:rsidR="004304A2" w:rsidRPr="004C0E40" w:rsidRDefault="004304A2" w:rsidP="001721E0">
      <w:pPr>
        <w:tabs>
          <w:tab w:val="left" w:pos="5870"/>
        </w:tabs>
        <w:ind w:left="720"/>
      </w:pPr>
    </w:p>
    <w:sectPr w:rsidR="004304A2" w:rsidRPr="004C0E40" w:rsidSect="00175A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7D759A" w14:textId="77777777" w:rsidR="006C184D" w:rsidRDefault="006C184D" w:rsidP="0096461C">
      <w:r>
        <w:separator/>
      </w:r>
    </w:p>
  </w:endnote>
  <w:endnote w:type="continuationSeparator" w:id="0">
    <w:p w14:paraId="0FEE73AF" w14:textId="77777777" w:rsidR="006C184D" w:rsidRDefault="006C184D" w:rsidP="00964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Bold">
    <w:altName w:val="Courier New"/>
    <w:panose1 w:val="00000000000000000000"/>
    <w:charset w:val="00"/>
    <w:family w:val="modern"/>
    <w:notTrueType/>
    <w:pitch w:val="default"/>
    <w:sig w:usb0="00000003" w:usb1="00000000" w:usb2="00000000" w:usb3="00000000" w:csb0="00000001" w:csb1="00000000"/>
  </w:font>
  <w:font w:name="Univers">
    <w:charset w:val="00"/>
    <w:family w:val="swiss"/>
    <w:pitch w:val="variable"/>
    <w:sig w:usb0="80000287" w:usb1="00000000" w:usb2="00000000" w:usb3="00000000" w:csb0="0000000F" w:csb1="00000000"/>
  </w:font>
  <w:font w:name="Berling Roman">
    <w:altName w:val="Cambria"/>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heltenham">
    <w:altName w:val="Cheltenham"/>
    <w:panose1 w:val="00000000000000000000"/>
    <w:charset w:val="00"/>
    <w:family w:val="roman"/>
    <w:notTrueType/>
    <w:pitch w:val="default"/>
    <w:sig w:usb0="00000003" w:usb1="00000000" w:usb2="00000000" w:usb3="00000000" w:csb0="00000001" w:csb1="00000000"/>
  </w:font>
  <w:font w:name="MS ??">
    <w:altName w:val="MS Mincho"/>
    <w:panose1 w:val="00000000000000000000"/>
    <w:charset w:val="80"/>
    <w:family w:val="auto"/>
    <w:notTrueType/>
    <w:pitch w:val="variable"/>
    <w:sig w:usb0="00000000"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 w:name="MS Mincho">
    <w:altName w:val="?l?r ??fc"/>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58C55" w14:textId="77777777" w:rsidR="00014081" w:rsidRDefault="00014081" w:rsidP="00D34F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458094" w14:textId="77777777" w:rsidR="00014081" w:rsidRDefault="00014081" w:rsidP="00D34F6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1272054"/>
      <w:docPartObj>
        <w:docPartGallery w:val="Page Numbers (Bottom of Page)"/>
        <w:docPartUnique/>
      </w:docPartObj>
    </w:sdtPr>
    <w:sdtEndPr>
      <w:rPr>
        <w:noProof/>
      </w:rPr>
    </w:sdtEndPr>
    <w:sdtContent>
      <w:p w14:paraId="6A37FD30" w14:textId="77777777" w:rsidR="00014081" w:rsidRDefault="0001408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0F90E95" w14:textId="77777777" w:rsidR="00014081" w:rsidRDefault="00014081" w:rsidP="00261AE2">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B06E18" w14:textId="77777777" w:rsidR="006C184D" w:rsidRDefault="006C184D" w:rsidP="0096461C">
      <w:r>
        <w:separator/>
      </w:r>
    </w:p>
  </w:footnote>
  <w:footnote w:type="continuationSeparator" w:id="0">
    <w:p w14:paraId="7D627786" w14:textId="77777777" w:rsidR="006C184D" w:rsidRDefault="006C184D" w:rsidP="009646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27B56" w14:textId="77777777" w:rsidR="00014081" w:rsidRDefault="00014081" w:rsidP="00DB742D">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8F33F" w14:textId="77777777" w:rsidR="00014081" w:rsidRDefault="00014081" w:rsidP="00175A45">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087BB3" w14:textId="77777777" w:rsidR="00014081" w:rsidRDefault="00014081" w:rsidP="00175A45">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DAE0F" w14:textId="77777777" w:rsidR="00014081" w:rsidRDefault="00014081" w:rsidP="00175A45">
    <w:pPr>
      <w:pStyle w:val="Header"/>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8752352"/>
      <w:temporary/>
      <w:showingPlcHdr/>
      <w15:appearance w15:val="hidden"/>
    </w:sdtPr>
    <w:sdtEndPr/>
    <w:sdtContent>
      <w:p w14:paraId="2B7DDE12" w14:textId="77777777" w:rsidR="00014081" w:rsidRDefault="00014081" w:rsidP="00175A45">
        <w:pPr>
          <w:pStyle w:val="Header"/>
          <w:framePr w:wrap="none" w:vAnchor="text" w:hAnchor="margin" w:xAlign="right" w:y="1"/>
        </w:pPr>
        <w:r>
          <w:t>[Type here]</w:t>
        </w:r>
      </w:p>
    </w:sdtContent>
  </w:sdt>
  <w:p w14:paraId="16BD1802" w14:textId="77777777" w:rsidR="00014081" w:rsidRDefault="00014081" w:rsidP="00175A45">
    <w:pPr>
      <w:pStyle w:val="Header"/>
      <w:framePr w:wrap="none" w:vAnchor="text" w:hAnchor="margin" w:xAlign="right" w:y="1"/>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01E85" w14:textId="77777777" w:rsidR="00014081" w:rsidRPr="00B47185" w:rsidRDefault="00014081" w:rsidP="00C93D65">
    <w:pPr>
      <w:tabs>
        <w:tab w:val="right" w:pos="9360"/>
      </w:tabs>
      <w:spacing w:line="48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07B0F"/>
    <w:multiLevelType w:val="multilevel"/>
    <w:tmpl w:val="80641AFA"/>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DBC086E"/>
    <w:multiLevelType w:val="multilevel"/>
    <w:tmpl w:val="3BDA9DFA"/>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E4D48B3"/>
    <w:multiLevelType w:val="multilevel"/>
    <w:tmpl w:val="78302B1A"/>
    <w:lvl w:ilvl="0">
      <w:start w:val="1"/>
      <w:numFmt w:val="bullet"/>
      <w:lvlText w:val="o"/>
      <w:lvlJc w:val="left"/>
      <w:pPr>
        <w:ind w:left="720" w:hanging="360"/>
      </w:pPr>
      <w:rPr>
        <w:rFonts w:ascii="Courier New" w:eastAsia="Courier New" w:hAnsi="Courier New" w:cs="Courier New"/>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1BF838F3"/>
    <w:multiLevelType w:val="multilevel"/>
    <w:tmpl w:val="F1222CBA"/>
    <w:lvl w:ilvl="0">
      <w:start w:val="1"/>
      <w:numFmt w:val="bullet"/>
      <w:lvlText w:val="o"/>
      <w:lvlJc w:val="left"/>
      <w:pPr>
        <w:ind w:left="720" w:hanging="360"/>
      </w:pPr>
      <w:rPr>
        <w:rFonts w:ascii="Courier New" w:eastAsia="Courier New" w:hAnsi="Courier New" w:cs="Courier New"/>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1C8427FC"/>
    <w:multiLevelType w:val="hybridMultilevel"/>
    <w:tmpl w:val="41B072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34155B"/>
    <w:multiLevelType w:val="multilevel"/>
    <w:tmpl w:val="D8584E3E"/>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0B040D0"/>
    <w:multiLevelType w:val="multilevel"/>
    <w:tmpl w:val="5DA04E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2A55499"/>
    <w:multiLevelType w:val="multilevel"/>
    <w:tmpl w:val="4DA88496"/>
    <w:lvl w:ilvl="0">
      <w:start w:val="1"/>
      <w:numFmt w:val="bullet"/>
      <w:lvlText w:val="o"/>
      <w:lvlJc w:val="left"/>
      <w:pPr>
        <w:ind w:left="720" w:hanging="360"/>
      </w:pPr>
      <w:rPr>
        <w:rFonts w:ascii="Courier New" w:eastAsia="Courier New" w:hAnsi="Courier New" w:cs="Courier New"/>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30E33719"/>
    <w:multiLevelType w:val="multilevel"/>
    <w:tmpl w:val="CCF0A522"/>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14B2CCC"/>
    <w:multiLevelType w:val="multilevel"/>
    <w:tmpl w:val="8DA45FA6"/>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4455658"/>
    <w:multiLevelType w:val="multilevel"/>
    <w:tmpl w:val="8DD0C606"/>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61A166F"/>
    <w:multiLevelType w:val="multilevel"/>
    <w:tmpl w:val="8AFEB1BC"/>
    <w:lvl w:ilvl="0">
      <w:start w:val="1"/>
      <w:numFmt w:val="bullet"/>
      <w:lvlText w:val="o"/>
      <w:lvlJc w:val="left"/>
      <w:pPr>
        <w:ind w:left="720" w:hanging="360"/>
      </w:pPr>
      <w:rPr>
        <w:rFonts w:ascii="Courier New" w:eastAsia="Courier New" w:hAnsi="Courier New" w:cs="Courier New"/>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50A51C12"/>
    <w:multiLevelType w:val="multilevel"/>
    <w:tmpl w:val="4AC6FC4A"/>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C4F1F63"/>
    <w:multiLevelType w:val="multilevel"/>
    <w:tmpl w:val="B0C88E24"/>
    <w:lvl w:ilvl="0">
      <w:start w:val="1"/>
      <w:numFmt w:val="bullet"/>
      <w:lvlText w:val="o"/>
      <w:lvlJc w:val="left"/>
      <w:pPr>
        <w:ind w:left="720" w:hanging="360"/>
      </w:pPr>
      <w:rPr>
        <w:rFonts w:ascii="Courier New" w:eastAsia="Courier New" w:hAnsi="Courier New" w:cs="Courier New"/>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62621642"/>
    <w:multiLevelType w:val="multilevel"/>
    <w:tmpl w:val="30709CD0"/>
    <w:lvl w:ilvl="0">
      <w:start w:val="1"/>
      <w:numFmt w:val="bullet"/>
      <w:lvlText w:val="o"/>
      <w:lvlJc w:val="left"/>
      <w:pPr>
        <w:ind w:left="720" w:hanging="360"/>
      </w:pPr>
      <w:rPr>
        <w:rFonts w:ascii="Courier New" w:eastAsia="Courier New" w:hAnsi="Courier New" w:cs="Courier New"/>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748E30DA"/>
    <w:multiLevelType w:val="multilevel"/>
    <w:tmpl w:val="AE688246"/>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79297903"/>
    <w:multiLevelType w:val="multilevel"/>
    <w:tmpl w:val="7174E726"/>
    <w:lvl w:ilvl="0">
      <w:start w:val="1"/>
      <w:numFmt w:val="bullet"/>
      <w:lvlText w:val="o"/>
      <w:lvlJc w:val="left"/>
      <w:pPr>
        <w:ind w:left="720" w:hanging="360"/>
      </w:pPr>
      <w:rPr>
        <w:rFonts w:ascii="Courier New" w:eastAsia="Courier New" w:hAnsi="Courier New" w:cs="Courier New"/>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7AB13067"/>
    <w:multiLevelType w:val="multilevel"/>
    <w:tmpl w:val="3F9E1B12"/>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9"/>
  </w:num>
  <w:num w:numId="3">
    <w:abstractNumId w:val="15"/>
  </w:num>
  <w:num w:numId="4">
    <w:abstractNumId w:val="5"/>
  </w:num>
  <w:num w:numId="5">
    <w:abstractNumId w:val="16"/>
  </w:num>
  <w:num w:numId="6">
    <w:abstractNumId w:val="0"/>
  </w:num>
  <w:num w:numId="7">
    <w:abstractNumId w:val="7"/>
  </w:num>
  <w:num w:numId="8">
    <w:abstractNumId w:val="17"/>
  </w:num>
  <w:num w:numId="9">
    <w:abstractNumId w:val="14"/>
  </w:num>
  <w:num w:numId="10">
    <w:abstractNumId w:val="6"/>
  </w:num>
  <w:num w:numId="11">
    <w:abstractNumId w:val="12"/>
  </w:num>
  <w:num w:numId="12">
    <w:abstractNumId w:val="3"/>
  </w:num>
  <w:num w:numId="13">
    <w:abstractNumId w:val="8"/>
  </w:num>
  <w:num w:numId="14">
    <w:abstractNumId w:val="13"/>
  </w:num>
  <w:num w:numId="15">
    <w:abstractNumId w:val="10"/>
  </w:num>
  <w:num w:numId="16">
    <w:abstractNumId w:val="11"/>
  </w:num>
  <w:num w:numId="17">
    <w:abstractNumId w:val="1"/>
  </w:num>
  <w:num w:numId="18">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61C"/>
    <w:rsid w:val="0000137D"/>
    <w:rsid w:val="00002B3F"/>
    <w:rsid w:val="00002CA5"/>
    <w:rsid w:val="00003C20"/>
    <w:rsid w:val="00006910"/>
    <w:rsid w:val="000073A9"/>
    <w:rsid w:val="0001039E"/>
    <w:rsid w:val="000112F2"/>
    <w:rsid w:val="000116BD"/>
    <w:rsid w:val="000121DA"/>
    <w:rsid w:val="00014081"/>
    <w:rsid w:val="0001622E"/>
    <w:rsid w:val="00017F9B"/>
    <w:rsid w:val="0002108C"/>
    <w:rsid w:val="00022A40"/>
    <w:rsid w:val="0002568A"/>
    <w:rsid w:val="00026168"/>
    <w:rsid w:val="00026A09"/>
    <w:rsid w:val="0002732D"/>
    <w:rsid w:val="00027957"/>
    <w:rsid w:val="000327CE"/>
    <w:rsid w:val="00032F3E"/>
    <w:rsid w:val="00033770"/>
    <w:rsid w:val="00034E7C"/>
    <w:rsid w:val="00037B5F"/>
    <w:rsid w:val="00041283"/>
    <w:rsid w:val="0004382F"/>
    <w:rsid w:val="00044A95"/>
    <w:rsid w:val="00045250"/>
    <w:rsid w:val="00045416"/>
    <w:rsid w:val="00051AAC"/>
    <w:rsid w:val="0005250F"/>
    <w:rsid w:val="00054A5B"/>
    <w:rsid w:val="000552AC"/>
    <w:rsid w:val="00056CAA"/>
    <w:rsid w:val="000608F8"/>
    <w:rsid w:val="00060FB6"/>
    <w:rsid w:val="000646B4"/>
    <w:rsid w:val="00066068"/>
    <w:rsid w:val="00066D24"/>
    <w:rsid w:val="00070749"/>
    <w:rsid w:val="00070949"/>
    <w:rsid w:val="00070EFA"/>
    <w:rsid w:val="000728CE"/>
    <w:rsid w:val="0008292C"/>
    <w:rsid w:val="00084587"/>
    <w:rsid w:val="000855A9"/>
    <w:rsid w:val="00087014"/>
    <w:rsid w:val="0009090D"/>
    <w:rsid w:val="000922CF"/>
    <w:rsid w:val="000926FA"/>
    <w:rsid w:val="000931A2"/>
    <w:rsid w:val="000955A0"/>
    <w:rsid w:val="000957B8"/>
    <w:rsid w:val="00095F90"/>
    <w:rsid w:val="00097911"/>
    <w:rsid w:val="000A092C"/>
    <w:rsid w:val="000A0AE1"/>
    <w:rsid w:val="000A13A8"/>
    <w:rsid w:val="000A6C2C"/>
    <w:rsid w:val="000B0280"/>
    <w:rsid w:val="000B0C14"/>
    <w:rsid w:val="000B1F37"/>
    <w:rsid w:val="000B46E8"/>
    <w:rsid w:val="000B6ACF"/>
    <w:rsid w:val="000B70EF"/>
    <w:rsid w:val="000B723A"/>
    <w:rsid w:val="000C22AF"/>
    <w:rsid w:val="000C4EAD"/>
    <w:rsid w:val="000C7DA7"/>
    <w:rsid w:val="000D0AE3"/>
    <w:rsid w:val="000D0CCD"/>
    <w:rsid w:val="000D1AFB"/>
    <w:rsid w:val="000D2306"/>
    <w:rsid w:val="000D25B3"/>
    <w:rsid w:val="000D3B9F"/>
    <w:rsid w:val="000D488C"/>
    <w:rsid w:val="000D653B"/>
    <w:rsid w:val="000D6D7F"/>
    <w:rsid w:val="000E0106"/>
    <w:rsid w:val="000E0DE7"/>
    <w:rsid w:val="000E33F0"/>
    <w:rsid w:val="000E4814"/>
    <w:rsid w:val="000E4C3A"/>
    <w:rsid w:val="000F000A"/>
    <w:rsid w:val="000F13BC"/>
    <w:rsid w:val="000F1BD5"/>
    <w:rsid w:val="000F42BC"/>
    <w:rsid w:val="000F6264"/>
    <w:rsid w:val="001003D5"/>
    <w:rsid w:val="00101BE1"/>
    <w:rsid w:val="001026DF"/>
    <w:rsid w:val="00102B9D"/>
    <w:rsid w:val="00103C5C"/>
    <w:rsid w:val="00104CAC"/>
    <w:rsid w:val="001065F5"/>
    <w:rsid w:val="00113E5A"/>
    <w:rsid w:val="00116500"/>
    <w:rsid w:val="00117EFA"/>
    <w:rsid w:val="00120611"/>
    <w:rsid w:val="00120D47"/>
    <w:rsid w:val="001211ED"/>
    <w:rsid w:val="001214FD"/>
    <w:rsid w:val="00123B0F"/>
    <w:rsid w:val="001259F4"/>
    <w:rsid w:val="00125C3C"/>
    <w:rsid w:val="00125CA4"/>
    <w:rsid w:val="001265D7"/>
    <w:rsid w:val="00126C83"/>
    <w:rsid w:val="00127A94"/>
    <w:rsid w:val="00132EB3"/>
    <w:rsid w:val="00132F44"/>
    <w:rsid w:val="00134757"/>
    <w:rsid w:val="00134B3E"/>
    <w:rsid w:val="001350FC"/>
    <w:rsid w:val="0013680C"/>
    <w:rsid w:val="00137A56"/>
    <w:rsid w:val="00140853"/>
    <w:rsid w:val="00141702"/>
    <w:rsid w:val="0014250C"/>
    <w:rsid w:val="00142B96"/>
    <w:rsid w:val="001443E7"/>
    <w:rsid w:val="001446D5"/>
    <w:rsid w:val="00145B27"/>
    <w:rsid w:val="00151B04"/>
    <w:rsid w:val="00154D3B"/>
    <w:rsid w:val="00155908"/>
    <w:rsid w:val="0015731C"/>
    <w:rsid w:val="0016150B"/>
    <w:rsid w:val="00161ED5"/>
    <w:rsid w:val="001628DA"/>
    <w:rsid w:val="00163523"/>
    <w:rsid w:val="001647E3"/>
    <w:rsid w:val="0017055A"/>
    <w:rsid w:val="001721E0"/>
    <w:rsid w:val="00172255"/>
    <w:rsid w:val="0017246C"/>
    <w:rsid w:val="00172490"/>
    <w:rsid w:val="001750ED"/>
    <w:rsid w:val="001755C0"/>
    <w:rsid w:val="00175A45"/>
    <w:rsid w:val="001763FC"/>
    <w:rsid w:val="00176782"/>
    <w:rsid w:val="00177A0F"/>
    <w:rsid w:val="00180204"/>
    <w:rsid w:val="00180960"/>
    <w:rsid w:val="0018299C"/>
    <w:rsid w:val="00184B89"/>
    <w:rsid w:val="0018514C"/>
    <w:rsid w:val="0018758C"/>
    <w:rsid w:val="00191580"/>
    <w:rsid w:val="00193216"/>
    <w:rsid w:val="0019393A"/>
    <w:rsid w:val="00194DF9"/>
    <w:rsid w:val="001A25CB"/>
    <w:rsid w:val="001A2675"/>
    <w:rsid w:val="001A3333"/>
    <w:rsid w:val="001A3602"/>
    <w:rsid w:val="001A74A4"/>
    <w:rsid w:val="001B3D83"/>
    <w:rsid w:val="001B7240"/>
    <w:rsid w:val="001B7FF2"/>
    <w:rsid w:val="001C0E1E"/>
    <w:rsid w:val="001C0EEF"/>
    <w:rsid w:val="001C2C40"/>
    <w:rsid w:val="001C30C9"/>
    <w:rsid w:val="001C357D"/>
    <w:rsid w:val="001C37F6"/>
    <w:rsid w:val="001D18B8"/>
    <w:rsid w:val="001D1DEA"/>
    <w:rsid w:val="001D259B"/>
    <w:rsid w:val="001D2B89"/>
    <w:rsid w:val="001D5842"/>
    <w:rsid w:val="001E0699"/>
    <w:rsid w:val="001E1896"/>
    <w:rsid w:val="001E577E"/>
    <w:rsid w:val="001E57E2"/>
    <w:rsid w:val="001E7392"/>
    <w:rsid w:val="001E7996"/>
    <w:rsid w:val="001F4565"/>
    <w:rsid w:val="001F60D7"/>
    <w:rsid w:val="001F7167"/>
    <w:rsid w:val="001F7D96"/>
    <w:rsid w:val="00202A34"/>
    <w:rsid w:val="00203C4E"/>
    <w:rsid w:val="002067C8"/>
    <w:rsid w:val="00207C5B"/>
    <w:rsid w:val="0021220D"/>
    <w:rsid w:val="00213B91"/>
    <w:rsid w:val="0021785E"/>
    <w:rsid w:val="00220228"/>
    <w:rsid w:val="00222759"/>
    <w:rsid w:val="00225730"/>
    <w:rsid w:val="002269B5"/>
    <w:rsid w:val="00227A83"/>
    <w:rsid w:val="00227EEC"/>
    <w:rsid w:val="00230695"/>
    <w:rsid w:val="002307C1"/>
    <w:rsid w:val="00231F7E"/>
    <w:rsid w:val="0023211C"/>
    <w:rsid w:val="00233353"/>
    <w:rsid w:val="002354C0"/>
    <w:rsid w:val="00235EC8"/>
    <w:rsid w:val="002361FB"/>
    <w:rsid w:val="0023650A"/>
    <w:rsid w:val="0024130D"/>
    <w:rsid w:val="002419CC"/>
    <w:rsid w:val="00246BB7"/>
    <w:rsid w:val="002524C4"/>
    <w:rsid w:val="002543EA"/>
    <w:rsid w:val="00257018"/>
    <w:rsid w:val="00261AE2"/>
    <w:rsid w:val="00261F02"/>
    <w:rsid w:val="0026318D"/>
    <w:rsid w:val="00263A5B"/>
    <w:rsid w:val="00264142"/>
    <w:rsid w:val="00264959"/>
    <w:rsid w:val="00270539"/>
    <w:rsid w:val="002706B0"/>
    <w:rsid w:val="00270BEA"/>
    <w:rsid w:val="00274031"/>
    <w:rsid w:val="00276B4E"/>
    <w:rsid w:val="00277846"/>
    <w:rsid w:val="002801CA"/>
    <w:rsid w:val="00280413"/>
    <w:rsid w:val="00285968"/>
    <w:rsid w:val="00286259"/>
    <w:rsid w:val="00290B4C"/>
    <w:rsid w:val="002951CD"/>
    <w:rsid w:val="00295742"/>
    <w:rsid w:val="002A2E1F"/>
    <w:rsid w:val="002A390B"/>
    <w:rsid w:val="002A4039"/>
    <w:rsid w:val="002A42E9"/>
    <w:rsid w:val="002A6279"/>
    <w:rsid w:val="002A6C2A"/>
    <w:rsid w:val="002A6E74"/>
    <w:rsid w:val="002A7F0A"/>
    <w:rsid w:val="002B2E70"/>
    <w:rsid w:val="002B414C"/>
    <w:rsid w:val="002B4FC0"/>
    <w:rsid w:val="002B5A6C"/>
    <w:rsid w:val="002B5C37"/>
    <w:rsid w:val="002B6E90"/>
    <w:rsid w:val="002C084A"/>
    <w:rsid w:val="002C16A7"/>
    <w:rsid w:val="002C33D0"/>
    <w:rsid w:val="002C38B7"/>
    <w:rsid w:val="002C7687"/>
    <w:rsid w:val="002D2765"/>
    <w:rsid w:val="002D3212"/>
    <w:rsid w:val="002D3FF7"/>
    <w:rsid w:val="002D54B5"/>
    <w:rsid w:val="002D5D76"/>
    <w:rsid w:val="002E0484"/>
    <w:rsid w:val="002E0C60"/>
    <w:rsid w:val="002E0ECD"/>
    <w:rsid w:val="002E0F13"/>
    <w:rsid w:val="002E2D77"/>
    <w:rsid w:val="002E4881"/>
    <w:rsid w:val="002E6C36"/>
    <w:rsid w:val="002E7359"/>
    <w:rsid w:val="002E7B3F"/>
    <w:rsid w:val="002E7EAB"/>
    <w:rsid w:val="002F5276"/>
    <w:rsid w:val="002F705E"/>
    <w:rsid w:val="0030283C"/>
    <w:rsid w:val="00311AE4"/>
    <w:rsid w:val="00314210"/>
    <w:rsid w:val="003162F4"/>
    <w:rsid w:val="00321C57"/>
    <w:rsid w:val="00323123"/>
    <w:rsid w:val="003233D6"/>
    <w:rsid w:val="0032451F"/>
    <w:rsid w:val="00325F50"/>
    <w:rsid w:val="003300F1"/>
    <w:rsid w:val="00330778"/>
    <w:rsid w:val="00331624"/>
    <w:rsid w:val="00335E6E"/>
    <w:rsid w:val="00336C47"/>
    <w:rsid w:val="0034096D"/>
    <w:rsid w:val="00340BCB"/>
    <w:rsid w:val="00341D0C"/>
    <w:rsid w:val="003431A7"/>
    <w:rsid w:val="00344624"/>
    <w:rsid w:val="00344642"/>
    <w:rsid w:val="003447E9"/>
    <w:rsid w:val="0034592F"/>
    <w:rsid w:val="003501FE"/>
    <w:rsid w:val="00350208"/>
    <w:rsid w:val="003504E6"/>
    <w:rsid w:val="00351D9A"/>
    <w:rsid w:val="00352186"/>
    <w:rsid w:val="00352769"/>
    <w:rsid w:val="00356198"/>
    <w:rsid w:val="00361609"/>
    <w:rsid w:val="00363E82"/>
    <w:rsid w:val="003657D0"/>
    <w:rsid w:val="00366674"/>
    <w:rsid w:val="00370773"/>
    <w:rsid w:val="00371769"/>
    <w:rsid w:val="0037290D"/>
    <w:rsid w:val="00372C8C"/>
    <w:rsid w:val="00373EBC"/>
    <w:rsid w:val="00377BB9"/>
    <w:rsid w:val="0038031B"/>
    <w:rsid w:val="003813E0"/>
    <w:rsid w:val="00382D9C"/>
    <w:rsid w:val="0038317E"/>
    <w:rsid w:val="00383ED0"/>
    <w:rsid w:val="00384621"/>
    <w:rsid w:val="00387E0F"/>
    <w:rsid w:val="00387EDD"/>
    <w:rsid w:val="003912B9"/>
    <w:rsid w:val="00395729"/>
    <w:rsid w:val="003968AC"/>
    <w:rsid w:val="00396DC9"/>
    <w:rsid w:val="00397B24"/>
    <w:rsid w:val="003A021C"/>
    <w:rsid w:val="003A172D"/>
    <w:rsid w:val="003A5742"/>
    <w:rsid w:val="003A68A4"/>
    <w:rsid w:val="003A7414"/>
    <w:rsid w:val="003A77E5"/>
    <w:rsid w:val="003B0491"/>
    <w:rsid w:val="003B0C8B"/>
    <w:rsid w:val="003B3C42"/>
    <w:rsid w:val="003B40EE"/>
    <w:rsid w:val="003B43B5"/>
    <w:rsid w:val="003B45AA"/>
    <w:rsid w:val="003B619C"/>
    <w:rsid w:val="003B715E"/>
    <w:rsid w:val="003B7AE7"/>
    <w:rsid w:val="003C0ACA"/>
    <w:rsid w:val="003C3117"/>
    <w:rsid w:val="003C3CC5"/>
    <w:rsid w:val="003C3EAE"/>
    <w:rsid w:val="003C4E9C"/>
    <w:rsid w:val="003C504A"/>
    <w:rsid w:val="003C5711"/>
    <w:rsid w:val="003D0B0A"/>
    <w:rsid w:val="003D1057"/>
    <w:rsid w:val="003D29A0"/>
    <w:rsid w:val="003D38EC"/>
    <w:rsid w:val="003D567A"/>
    <w:rsid w:val="003D6A93"/>
    <w:rsid w:val="003D71A8"/>
    <w:rsid w:val="003D7965"/>
    <w:rsid w:val="003E1893"/>
    <w:rsid w:val="003E275C"/>
    <w:rsid w:val="003E5B1B"/>
    <w:rsid w:val="003E7D51"/>
    <w:rsid w:val="003F18D3"/>
    <w:rsid w:val="003F257F"/>
    <w:rsid w:val="003F2755"/>
    <w:rsid w:val="003F2D81"/>
    <w:rsid w:val="003F576B"/>
    <w:rsid w:val="003F7A02"/>
    <w:rsid w:val="004000AF"/>
    <w:rsid w:val="00400A35"/>
    <w:rsid w:val="00410C42"/>
    <w:rsid w:val="004158EC"/>
    <w:rsid w:val="00416D17"/>
    <w:rsid w:val="00421D28"/>
    <w:rsid w:val="00424B5B"/>
    <w:rsid w:val="00425E69"/>
    <w:rsid w:val="00425F92"/>
    <w:rsid w:val="004304A2"/>
    <w:rsid w:val="00430985"/>
    <w:rsid w:val="00430B39"/>
    <w:rsid w:val="00430B93"/>
    <w:rsid w:val="00436C7F"/>
    <w:rsid w:val="004405DF"/>
    <w:rsid w:val="0044070E"/>
    <w:rsid w:val="00441E45"/>
    <w:rsid w:val="004428CA"/>
    <w:rsid w:val="00443007"/>
    <w:rsid w:val="00443A1D"/>
    <w:rsid w:val="00445573"/>
    <w:rsid w:val="00445FCC"/>
    <w:rsid w:val="0044652D"/>
    <w:rsid w:val="0044727D"/>
    <w:rsid w:val="004477F3"/>
    <w:rsid w:val="00447B84"/>
    <w:rsid w:val="0045081C"/>
    <w:rsid w:val="0045266E"/>
    <w:rsid w:val="0045547B"/>
    <w:rsid w:val="00455D87"/>
    <w:rsid w:val="00457139"/>
    <w:rsid w:val="0045791B"/>
    <w:rsid w:val="0046003A"/>
    <w:rsid w:val="004619A9"/>
    <w:rsid w:val="00461C6E"/>
    <w:rsid w:val="00462079"/>
    <w:rsid w:val="00464586"/>
    <w:rsid w:val="0046514C"/>
    <w:rsid w:val="004664FE"/>
    <w:rsid w:val="0046666E"/>
    <w:rsid w:val="004672BD"/>
    <w:rsid w:val="00470695"/>
    <w:rsid w:val="00470822"/>
    <w:rsid w:val="00472E0D"/>
    <w:rsid w:val="00473B23"/>
    <w:rsid w:val="00474749"/>
    <w:rsid w:val="00475603"/>
    <w:rsid w:val="004765BC"/>
    <w:rsid w:val="00476686"/>
    <w:rsid w:val="0047735E"/>
    <w:rsid w:val="00481692"/>
    <w:rsid w:val="00481AD1"/>
    <w:rsid w:val="004835EC"/>
    <w:rsid w:val="0048477B"/>
    <w:rsid w:val="0048608F"/>
    <w:rsid w:val="00487D46"/>
    <w:rsid w:val="00490ABC"/>
    <w:rsid w:val="00491532"/>
    <w:rsid w:val="00491780"/>
    <w:rsid w:val="00492033"/>
    <w:rsid w:val="00492055"/>
    <w:rsid w:val="00493505"/>
    <w:rsid w:val="00493D50"/>
    <w:rsid w:val="00493DE5"/>
    <w:rsid w:val="00493FFC"/>
    <w:rsid w:val="0049419D"/>
    <w:rsid w:val="00494C21"/>
    <w:rsid w:val="00496918"/>
    <w:rsid w:val="004A1E61"/>
    <w:rsid w:val="004A3C39"/>
    <w:rsid w:val="004A6231"/>
    <w:rsid w:val="004A6689"/>
    <w:rsid w:val="004A726C"/>
    <w:rsid w:val="004A7F75"/>
    <w:rsid w:val="004B15A3"/>
    <w:rsid w:val="004B38ED"/>
    <w:rsid w:val="004B5BAC"/>
    <w:rsid w:val="004B7930"/>
    <w:rsid w:val="004B7E28"/>
    <w:rsid w:val="004C0E40"/>
    <w:rsid w:val="004C37AA"/>
    <w:rsid w:val="004C6209"/>
    <w:rsid w:val="004C73CE"/>
    <w:rsid w:val="004C7671"/>
    <w:rsid w:val="004D0B24"/>
    <w:rsid w:val="004D11FF"/>
    <w:rsid w:val="004D2029"/>
    <w:rsid w:val="004D54BC"/>
    <w:rsid w:val="004D5529"/>
    <w:rsid w:val="004D7A66"/>
    <w:rsid w:val="004D7CE0"/>
    <w:rsid w:val="004E0684"/>
    <w:rsid w:val="004E1707"/>
    <w:rsid w:val="004E29DC"/>
    <w:rsid w:val="004E7108"/>
    <w:rsid w:val="004F1E3C"/>
    <w:rsid w:val="004F3882"/>
    <w:rsid w:val="004F4F32"/>
    <w:rsid w:val="004F5A9C"/>
    <w:rsid w:val="00501296"/>
    <w:rsid w:val="005013F8"/>
    <w:rsid w:val="005025E4"/>
    <w:rsid w:val="00502A5A"/>
    <w:rsid w:val="005050E9"/>
    <w:rsid w:val="00505731"/>
    <w:rsid w:val="00505780"/>
    <w:rsid w:val="00505FB7"/>
    <w:rsid w:val="00507886"/>
    <w:rsid w:val="00511F7B"/>
    <w:rsid w:val="00516614"/>
    <w:rsid w:val="00516F0E"/>
    <w:rsid w:val="005174C0"/>
    <w:rsid w:val="00517C7D"/>
    <w:rsid w:val="00525BEA"/>
    <w:rsid w:val="00530C4E"/>
    <w:rsid w:val="00531D51"/>
    <w:rsid w:val="005322B2"/>
    <w:rsid w:val="005327FD"/>
    <w:rsid w:val="00532AF7"/>
    <w:rsid w:val="005334FD"/>
    <w:rsid w:val="00534CAD"/>
    <w:rsid w:val="00535BF9"/>
    <w:rsid w:val="0053790A"/>
    <w:rsid w:val="00540034"/>
    <w:rsid w:val="00541FAE"/>
    <w:rsid w:val="00543BDF"/>
    <w:rsid w:val="00544374"/>
    <w:rsid w:val="0054470F"/>
    <w:rsid w:val="00547FA7"/>
    <w:rsid w:val="00550063"/>
    <w:rsid w:val="00550F40"/>
    <w:rsid w:val="00550F5B"/>
    <w:rsid w:val="00551F7D"/>
    <w:rsid w:val="00552500"/>
    <w:rsid w:val="00552A8D"/>
    <w:rsid w:val="00552E5C"/>
    <w:rsid w:val="005530A3"/>
    <w:rsid w:val="00554B51"/>
    <w:rsid w:val="00555CC3"/>
    <w:rsid w:val="00555DDD"/>
    <w:rsid w:val="00556C09"/>
    <w:rsid w:val="0056000D"/>
    <w:rsid w:val="00561A85"/>
    <w:rsid w:val="005638A3"/>
    <w:rsid w:val="0056548B"/>
    <w:rsid w:val="0056569D"/>
    <w:rsid w:val="00566544"/>
    <w:rsid w:val="00567788"/>
    <w:rsid w:val="00567C39"/>
    <w:rsid w:val="00571E47"/>
    <w:rsid w:val="00572E49"/>
    <w:rsid w:val="0057379B"/>
    <w:rsid w:val="00573AC3"/>
    <w:rsid w:val="005765CC"/>
    <w:rsid w:val="00576D1B"/>
    <w:rsid w:val="005779CD"/>
    <w:rsid w:val="0058025F"/>
    <w:rsid w:val="00582030"/>
    <w:rsid w:val="005824D6"/>
    <w:rsid w:val="00587AC2"/>
    <w:rsid w:val="005912F4"/>
    <w:rsid w:val="00591702"/>
    <w:rsid w:val="005926E9"/>
    <w:rsid w:val="00592702"/>
    <w:rsid w:val="00595696"/>
    <w:rsid w:val="005A09E2"/>
    <w:rsid w:val="005A0EB8"/>
    <w:rsid w:val="005A1A3E"/>
    <w:rsid w:val="005A3514"/>
    <w:rsid w:val="005A3D3D"/>
    <w:rsid w:val="005A4E91"/>
    <w:rsid w:val="005A6B0D"/>
    <w:rsid w:val="005B0D5D"/>
    <w:rsid w:val="005B46C2"/>
    <w:rsid w:val="005B6350"/>
    <w:rsid w:val="005C4EAD"/>
    <w:rsid w:val="005C5D1A"/>
    <w:rsid w:val="005C61C9"/>
    <w:rsid w:val="005D024E"/>
    <w:rsid w:val="005D0B5C"/>
    <w:rsid w:val="005D2B1D"/>
    <w:rsid w:val="005D4E58"/>
    <w:rsid w:val="005D6D7A"/>
    <w:rsid w:val="005D76EF"/>
    <w:rsid w:val="005E0EDA"/>
    <w:rsid w:val="005E1F92"/>
    <w:rsid w:val="005E244E"/>
    <w:rsid w:val="005E4018"/>
    <w:rsid w:val="005E4D3D"/>
    <w:rsid w:val="005E7DCE"/>
    <w:rsid w:val="005F02D0"/>
    <w:rsid w:val="005F1ACF"/>
    <w:rsid w:val="005F2515"/>
    <w:rsid w:val="005F2FF4"/>
    <w:rsid w:val="005F7E93"/>
    <w:rsid w:val="005F7FAD"/>
    <w:rsid w:val="00600A10"/>
    <w:rsid w:val="006020E2"/>
    <w:rsid w:val="0060231B"/>
    <w:rsid w:val="00604246"/>
    <w:rsid w:val="00606FDD"/>
    <w:rsid w:val="00612C90"/>
    <w:rsid w:val="00614359"/>
    <w:rsid w:val="006146E4"/>
    <w:rsid w:val="006170F8"/>
    <w:rsid w:val="00617744"/>
    <w:rsid w:val="0061794A"/>
    <w:rsid w:val="006206F1"/>
    <w:rsid w:val="00621554"/>
    <w:rsid w:val="00621EB3"/>
    <w:rsid w:val="00622146"/>
    <w:rsid w:val="00623B6C"/>
    <w:rsid w:val="00624CE7"/>
    <w:rsid w:val="006261D8"/>
    <w:rsid w:val="00626608"/>
    <w:rsid w:val="00626824"/>
    <w:rsid w:val="00627A42"/>
    <w:rsid w:val="00627F16"/>
    <w:rsid w:val="00630FB1"/>
    <w:rsid w:val="006320D5"/>
    <w:rsid w:val="006342FD"/>
    <w:rsid w:val="00634D6C"/>
    <w:rsid w:val="006364A2"/>
    <w:rsid w:val="00636D14"/>
    <w:rsid w:val="00636E05"/>
    <w:rsid w:val="0063743E"/>
    <w:rsid w:val="00642AD4"/>
    <w:rsid w:val="00646330"/>
    <w:rsid w:val="006463D2"/>
    <w:rsid w:val="00647A76"/>
    <w:rsid w:val="006503D8"/>
    <w:rsid w:val="006508FC"/>
    <w:rsid w:val="006512AE"/>
    <w:rsid w:val="006519C3"/>
    <w:rsid w:val="006526B3"/>
    <w:rsid w:val="0065445E"/>
    <w:rsid w:val="0065500E"/>
    <w:rsid w:val="00656DC6"/>
    <w:rsid w:val="00660EB6"/>
    <w:rsid w:val="00660F6A"/>
    <w:rsid w:val="006619D8"/>
    <w:rsid w:val="00661B0B"/>
    <w:rsid w:val="00662F12"/>
    <w:rsid w:val="00664089"/>
    <w:rsid w:val="00664CD6"/>
    <w:rsid w:val="00665477"/>
    <w:rsid w:val="006659D4"/>
    <w:rsid w:val="0066647B"/>
    <w:rsid w:val="00667140"/>
    <w:rsid w:val="0066790D"/>
    <w:rsid w:val="00670438"/>
    <w:rsid w:val="00670514"/>
    <w:rsid w:val="00673472"/>
    <w:rsid w:val="00673514"/>
    <w:rsid w:val="00684C39"/>
    <w:rsid w:val="00686A83"/>
    <w:rsid w:val="00691DFB"/>
    <w:rsid w:val="00693AFD"/>
    <w:rsid w:val="00694015"/>
    <w:rsid w:val="00695C14"/>
    <w:rsid w:val="006A2714"/>
    <w:rsid w:val="006A2948"/>
    <w:rsid w:val="006A2B26"/>
    <w:rsid w:val="006A3932"/>
    <w:rsid w:val="006A461B"/>
    <w:rsid w:val="006A4976"/>
    <w:rsid w:val="006A4A95"/>
    <w:rsid w:val="006A4FFD"/>
    <w:rsid w:val="006A52D9"/>
    <w:rsid w:val="006A5BB9"/>
    <w:rsid w:val="006B0F0F"/>
    <w:rsid w:val="006B1C44"/>
    <w:rsid w:val="006B1DD0"/>
    <w:rsid w:val="006B49D7"/>
    <w:rsid w:val="006B5208"/>
    <w:rsid w:val="006B7598"/>
    <w:rsid w:val="006C0639"/>
    <w:rsid w:val="006C170C"/>
    <w:rsid w:val="006C184D"/>
    <w:rsid w:val="006C226F"/>
    <w:rsid w:val="006C2D16"/>
    <w:rsid w:val="006C4DBA"/>
    <w:rsid w:val="006C63C5"/>
    <w:rsid w:val="006C7BEC"/>
    <w:rsid w:val="006D044F"/>
    <w:rsid w:val="006D11D6"/>
    <w:rsid w:val="006D1350"/>
    <w:rsid w:val="006D2543"/>
    <w:rsid w:val="006D279A"/>
    <w:rsid w:val="006D3DF5"/>
    <w:rsid w:val="006D3E09"/>
    <w:rsid w:val="006D47EF"/>
    <w:rsid w:val="006D62EB"/>
    <w:rsid w:val="006D6457"/>
    <w:rsid w:val="006E4A93"/>
    <w:rsid w:val="006E59B7"/>
    <w:rsid w:val="006E6127"/>
    <w:rsid w:val="006E66A1"/>
    <w:rsid w:val="006E70A1"/>
    <w:rsid w:val="006F1DB4"/>
    <w:rsid w:val="006F2586"/>
    <w:rsid w:val="006F4262"/>
    <w:rsid w:val="006F453F"/>
    <w:rsid w:val="006F5166"/>
    <w:rsid w:val="006F5D74"/>
    <w:rsid w:val="006F7144"/>
    <w:rsid w:val="006F7217"/>
    <w:rsid w:val="00701280"/>
    <w:rsid w:val="0070162B"/>
    <w:rsid w:val="007025E7"/>
    <w:rsid w:val="007033F5"/>
    <w:rsid w:val="00703F67"/>
    <w:rsid w:val="00704233"/>
    <w:rsid w:val="007046B3"/>
    <w:rsid w:val="0070487F"/>
    <w:rsid w:val="007049CF"/>
    <w:rsid w:val="007102C7"/>
    <w:rsid w:val="00710F33"/>
    <w:rsid w:val="00711BBA"/>
    <w:rsid w:val="007121ED"/>
    <w:rsid w:val="00712A1F"/>
    <w:rsid w:val="007135A6"/>
    <w:rsid w:val="007141E6"/>
    <w:rsid w:val="00715B01"/>
    <w:rsid w:val="0071691C"/>
    <w:rsid w:val="00717AE5"/>
    <w:rsid w:val="007226BE"/>
    <w:rsid w:val="007230F8"/>
    <w:rsid w:val="00725185"/>
    <w:rsid w:val="007262F7"/>
    <w:rsid w:val="00726D5F"/>
    <w:rsid w:val="00727C74"/>
    <w:rsid w:val="00730578"/>
    <w:rsid w:val="007309D6"/>
    <w:rsid w:val="00730FC6"/>
    <w:rsid w:val="00731126"/>
    <w:rsid w:val="00732D41"/>
    <w:rsid w:val="007332F2"/>
    <w:rsid w:val="00733A81"/>
    <w:rsid w:val="0073443C"/>
    <w:rsid w:val="0073525A"/>
    <w:rsid w:val="00736341"/>
    <w:rsid w:val="0074329A"/>
    <w:rsid w:val="00743AB5"/>
    <w:rsid w:val="00746EB3"/>
    <w:rsid w:val="00755CD2"/>
    <w:rsid w:val="00755E23"/>
    <w:rsid w:val="00755FB5"/>
    <w:rsid w:val="00762168"/>
    <w:rsid w:val="00762A87"/>
    <w:rsid w:val="00763545"/>
    <w:rsid w:val="00763C40"/>
    <w:rsid w:val="00765400"/>
    <w:rsid w:val="00767CBB"/>
    <w:rsid w:val="0077222E"/>
    <w:rsid w:val="00773232"/>
    <w:rsid w:val="00773E4B"/>
    <w:rsid w:val="00774004"/>
    <w:rsid w:val="0077585B"/>
    <w:rsid w:val="0078108E"/>
    <w:rsid w:val="00783E46"/>
    <w:rsid w:val="0078603D"/>
    <w:rsid w:val="007867F0"/>
    <w:rsid w:val="00791579"/>
    <w:rsid w:val="00794EFB"/>
    <w:rsid w:val="00794F0C"/>
    <w:rsid w:val="00795B6A"/>
    <w:rsid w:val="007967A9"/>
    <w:rsid w:val="00797EE8"/>
    <w:rsid w:val="007A3BD9"/>
    <w:rsid w:val="007A475F"/>
    <w:rsid w:val="007A5265"/>
    <w:rsid w:val="007A62AF"/>
    <w:rsid w:val="007B1188"/>
    <w:rsid w:val="007B3EAE"/>
    <w:rsid w:val="007B40EA"/>
    <w:rsid w:val="007B6095"/>
    <w:rsid w:val="007B60AD"/>
    <w:rsid w:val="007B7217"/>
    <w:rsid w:val="007B7804"/>
    <w:rsid w:val="007C3FDD"/>
    <w:rsid w:val="007C6CF6"/>
    <w:rsid w:val="007C7991"/>
    <w:rsid w:val="007D2539"/>
    <w:rsid w:val="007D547B"/>
    <w:rsid w:val="007D763F"/>
    <w:rsid w:val="007E29B2"/>
    <w:rsid w:val="007E4055"/>
    <w:rsid w:val="007E5C0D"/>
    <w:rsid w:val="007E6217"/>
    <w:rsid w:val="007E698D"/>
    <w:rsid w:val="007E7C36"/>
    <w:rsid w:val="007F0E3F"/>
    <w:rsid w:val="007F1303"/>
    <w:rsid w:val="007F1DD1"/>
    <w:rsid w:val="007F305F"/>
    <w:rsid w:val="007F3456"/>
    <w:rsid w:val="007F5269"/>
    <w:rsid w:val="007F52F2"/>
    <w:rsid w:val="007F720F"/>
    <w:rsid w:val="00800008"/>
    <w:rsid w:val="00801844"/>
    <w:rsid w:val="00802A8F"/>
    <w:rsid w:val="008045C4"/>
    <w:rsid w:val="00805860"/>
    <w:rsid w:val="008079E2"/>
    <w:rsid w:val="00810792"/>
    <w:rsid w:val="00810A4A"/>
    <w:rsid w:val="00810C89"/>
    <w:rsid w:val="008113C2"/>
    <w:rsid w:val="00811B59"/>
    <w:rsid w:val="00812183"/>
    <w:rsid w:val="00813475"/>
    <w:rsid w:val="008135B3"/>
    <w:rsid w:val="00817497"/>
    <w:rsid w:val="008208D5"/>
    <w:rsid w:val="00820BB3"/>
    <w:rsid w:val="00821B52"/>
    <w:rsid w:val="00823067"/>
    <w:rsid w:val="0082309F"/>
    <w:rsid w:val="008248B0"/>
    <w:rsid w:val="0082493B"/>
    <w:rsid w:val="00826567"/>
    <w:rsid w:val="0083090D"/>
    <w:rsid w:val="008311A0"/>
    <w:rsid w:val="00834431"/>
    <w:rsid w:val="008353F9"/>
    <w:rsid w:val="00842385"/>
    <w:rsid w:val="00843293"/>
    <w:rsid w:val="008437D8"/>
    <w:rsid w:val="0084385B"/>
    <w:rsid w:val="00843E37"/>
    <w:rsid w:val="00845D76"/>
    <w:rsid w:val="00845DB0"/>
    <w:rsid w:val="0084611D"/>
    <w:rsid w:val="0084714C"/>
    <w:rsid w:val="0085212C"/>
    <w:rsid w:val="00852AE6"/>
    <w:rsid w:val="00856C84"/>
    <w:rsid w:val="00856D80"/>
    <w:rsid w:val="00857E9F"/>
    <w:rsid w:val="00860CF9"/>
    <w:rsid w:val="008611EF"/>
    <w:rsid w:val="0086129F"/>
    <w:rsid w:val="00862100"/>
    <w:rsid w:val="00862DE0"/>
    <w:rsid w:val="0086349C"/>
    <w:rsid w:val="00863968"/>
    <w:rsid w:val="008648E3"/>
    <w:rsid w:val="00866B9D"/>
    <w:rsid w:val="00867F41"/>
    <w:rsid w:val="008726AD"/>
    <w:rsid w:val="00873CD0"/>
    <w:rsid w:val="00873DE4"/>
    <w:rsid w:val="00874E83"/>
    <w:rsid w:val="00876ED2"/>
    <w:rsid w:val="00881611"/>
    <w:rsid w:val="008838E6"/>
    <w:rsid w:val="00884CF8"/>
    <w:rsid w:val="00887E35"/>
    <w:rsid w:val="00892B4A"/>
    <w:rsid w:val="00892D6F"/>
    <w:rsid w:val="008938CD"/>
    <w:rsid w:val="008949E0"/>
    <w:rsid w:val="008963FE"/>
    <w:rsid w:val="0089722A"/>
    <w:rsid w:val="00897A69"/>
    <w:rsid w:val="008A2BAB"/>
    <w:rsid w:val="008A3D62"/>
    <w:rsid w:val="008A4B07"/>
    <w:rsid w:val="008A4FB3"/>
    <w:rsid w:val="008A506D"/>
    <w:rsid w:val="008A538D"/>
    <w:rsid w:val="008A69F1"/>
    <w:rsid w:val="008B1015"/>
    <w:rsid w:val="008B4044"/>
    <w:rsid w:val="008B4764"/>
    <w:rsid w:val="008B49F4"/>
    <w:rsid w:val="008B66F9"/>
    <w:rsid w:val="008B7C22"/>
    <w:rsid w:val="008C1610"/>
    <w:rsid w:val="008C2F44"/>
    <w:rsid w:val="008C2FF3"/>
    <w:rsid w:val="008C5728"/>
    <w:rsid w:val="008C5B0E"/>
    <w:rsid w:val="008C73B0"/>
    <w:rsid w:val="008D26C4"/>
    <w:rsid w:val="008D4409"/>
    <w:rsid w:val="008D637A"/>
    <w:rsid w:val="008D749E"/>
    <w:rsid w:val="008E04AA"/>
    <w:rsid w:val="008E11BE"/>
    <w:rsid w:val="008E18FD"/>
    <w:rsid w:val="008E2F6E"/>
    <w:rsid w:val="008E3FFB"/>
    <w:rsid w:val="008E650A"/>
    <w:rsid w:val="008E674E"/>
    <w:rsid w:val="008E6759"/>
    <w:rsid w:val="008F3737"/>
    <w:rsid w:val="008F591B"/>
    <w:rsid w:val="00903426"/>
    <w:rsid w:val="0091034A"/>
    <w:rsid w:val="00911A29"/>
    <w:rsid w:val="00913881"/>
    <w:rsid w:val="00913A96"/>
    <w:rsid w:val="00917737"/>
    <w:rsid w:val="00922A7D"/>
    <w:rsid w:val="009230DC"/>
    <w:rsid w:val="009232E8"/>
    <w:rsid w:val="009264F1"/>
    <w:rsid w:val="0092683D"/>
    <w:rsid w:val="00927135"/>
    <w:rsid w:val="009321CD"/>
    <w:rsid w:val="0093600D"/>
    <w:rsid w:val="009364B3"/>
    <w:rsid w:val="00936F0D"/>
    <w:rsid w:val="009376B8"/>
    <w:rsid w:val="00937747"/>
    <w:rsid w:val="00940A28"/>
    <w:rsid w:val="00941643"/>
    <w:rsid w:val="00942643"/>
    <w:rsid w:val="009451AD"/>
    <w:rsid w:val="009465D9"/>
    <w:rsid w:val="00946BA3"/>
    <w:rsid w:val="00947A48"/>
    <w:rsid w:val="00950408"/>
    <w:rsid w:val="00954F31"/>
    <w:rsid w:val="009555DF"/>
    <w:rsid w:val="00957D33"/>
    <w:rsid w:val="009603E7"/>
    <w:rsid w:val="00961F8E"/>
    <w:rsid w:val="0096277A"/>
    <w:rsid w:val="0096461C"/>
    <w:rsid w:val="00966FE8"/>
    <w:rsid w:val="00967536"/>
    <w:rsid w:val="00970378"/>
    <w:rsid w:val="00970AB5"/>
    <w:rsid w:val="0097265D"/>
    <w:rsid w:val="009742A1"/>
    <w:rsid w:val="00975699"/>
    <w:rsid w:val="00975CDE"/>
    <w:rsid w:val="009763C0"/>
    <w:rsid w:val="00977F48"/>
    <w:rsid w:val="00980501"/>
    <w:rsid w:val="00982610"/>
    <w:rsid w:val="00983272"/>
    <w:rsid w:val="00985465"/>
    <w:rsid w:val="00985DC4"/>
    <w:rsid w:val="0098623A"/>
    <w:rsid w:val="00990E88"/>
    <w:rsid w:val="00991778"/>
    <w:rsid w:val="00992B2C"/>
    <w:rsid w:val="0099679F"/>
    <w:rsid w:val="00996E38"/>
    <w:rsid w:val="0099797A"/>
    <w:rsid w:val="009A5AB0"/>
    <w:rsid w:val="009A60F0"/>
    <w:rsid w:val="009B04D2"/>
    <w:rsid w:val="009B14EA"/>
    <w:rsid w:val="009B1E4B"/>
    <w:rsid w:val="009B206B"/>
    <w:rsid w:val="009B2B23"/>
    <w:rsid w:val="009B2C40"/>
    <w:rsid w:val="009B4622"/>
    <w:rsid w:val="009B4AB0"/>
    <w:rsid w:val="009B4D1C"/>
    <w:rsid w:val="009C14F2"/>
    <w:rsid w:val="009C2BEA"/>
    <w:rsid w:val="009C36C3"/>
    <w:rsid w:val="009C3A13"/>
    <w:rsid w:val="009C3BE7"/>
    <w:rsid w:val="009C3D36"/>
    <w:rsid w:val="009C4EA5"/>
    <w:rsid w:val="009C4F7F"/>
    <w:rsid w:val="009D1433"/>
    <w:rsid w:val="009D21CC"/>
    <w:rsid w:val="009D24B7"/>
    <w:rsid w:val="009D2B16"/>
    <w:rsid w:val="009D3AF4"/>
    <w:rsid w:val="009D7708"/>
    <w:rsid w:val="009D7A86"/>
    <w:rsid w:val="009D7D64"/>
    <w:rsid w:val="009D7E66"/>
    <w:rsid w:val="009E21E5"/>
    <w:rsid w:val="009E3201"/>
    <w:rsid w:val="009E4609"/>
    <w:rsid w:val="009E5384"/>
    <w:rsid w:val="009E578F"/>
    <w:rsid w:val="009E5E8E"/>
    <w:rsid w:val="009F03A7"/>
    <w:rsid w:val="009F04CF"/>
    <w:rsid w:val="009F10BB"/>
    <w:rsid w:val="009F135E"/>
    <w:rsid w:val="009F3B78"/>
    <w:rsid w:val="009F4D22"/>
    <w:rsid w:val="009F4E4F"/>
    <w:rsid w:val="009F5FC5"/>
    <w:rsid w:val="009F677F"/>
    <w:rsid w:val="00A0085F"/>
    <w:rsid w:val="00A02E47"/>
    <w:rsid w:val="00A10F91"/>
    <w:rsid w:val="00A11191"/>
    <w:rsid w:val="00A13AB2"/>
    <w:rsid w:val="00A1526F"/>
    <w:rsid w:val="00A200E9"/>
    <w:rsid w:val="00A25F94"/>
    <w:rsid w:val="00A268B1"/>
    <w:rsid w:val="00A26BD3"/>
    <w:rsid w:val="00A2787F"/>
    <w:rsid w:val="00A30C3A"/>
    <w:rsid w:val="00A3109F"/>
    <w:rsid w:val="00A3287D"/>
    <w:rsid w:val="00A32D12"/>
    <w:rsid w:val="00A334EA"/>
    <w:rsid w:val="00A3544D"/>
    <w:rsid w:val="00A3614E"/>
    <w:rsid w:val="00A363EC"/>
    <w:rsid w:val="00A37C81"/>
    <w:rsid w:val="00A41408"/>
    <w:rsid w:val="00A414A7"/>
    <w:rsid w:val="00A425D3"/>
    <w:rsid w:val="00A47D3E"/>
    <w:rsid w:val="00A533F5"/>
    <w:rsid w:val="00A53A0C"/>
    <w:rsid w:val="00A550C0"/>
    <w:rsid w:val="00A56ED9"/>
    <w:rsid w:val="00A57D5B"/>
    <w:rsid w:val="00A635B8"/>
    <w:rsid w:val="00A644D3"/>
    <w:rsid w:val="00A65DA2"/>
    <w:rsid w:val="00A65E46"/>
    <w:rsid w:val="00A676F1"/>
    <w:rsid w:val="00A70ED9"/>
    <w:rsid w:val="00A7304B"/>
    <w:rsid w:val="00A74D37"/>
    <w:rsid w:val="00A7544C"/>
    <w:rsid w:val="00A77867"/>
    <w:rsid w:val="00A77EEB"/>
    <w:rsid w:val="00A815C9"/>
    <w:rsid w:val="00A8252E"/>
    <w:rsid w:val="00A8275C"/>
    <w:rsid w:val="00A84103"/>
    <w:rsid w:val="00A84245"/>
    <w:rsid w:val="00A84253"/>
    <w:rsid w:val="00A847E0"/>
    <w:rsid w:val="00A86349"/>
    <w:rsid w:val="00A90A91"/>
    <w:rsid w:val="00A915DC"/>
    <w:rsid w:val="00A9376F"/>
    <w:rsid w:val="00A937A4"/>
    <w:rsid w:val="00A95872"/>
    <w:rsid w:val="00AA1226"/>
    <w:rsid w:val="00AA1595"/>
    <w:rsid w:val="00AA16CD"/>
    <w:rsid w:val="00AA280C"/>
    <w:rsid w:val="00AA4084"/>
    <w:rsid w:val="00AA4154"/>
    <w:rsid w:val="00AA482F"/>
    <w:rsid w:val="00AA73CA"/>
    <w:rsid w:val="00AA77B5"/>
    <w:rsid w:val="00AB0C56"/>
    <w:rsid w:val="00AB1401"/>
    <w:rsid w:val="00AB3FAB"/>
    <w:rsid w:val="00AB468D"/>
    <w:rsid w:val="00AB5ACC"/>
    <w:rsid w:val="00AC072B"/>
    <w:rsid w:val="00AC0D33"/>
    <w:rsid w:val="00AC27C6"/>
    <w:rsid w:val="00AC346B"/>
    <w:rsid w:val="00AC44AF"/>
    <w:rsid w:val="00AC472D"/>
    <w:rsid w:val="00AC64CD"/>
    <w:rsid w:val="00AD24A3"/>
    <w:rsid w:val="00AD3D8F"/>
    <w:rsid w:val="00AD405C"/>
    <w:rsid w:val="00AD565D"/>
    <w:rsid w:val="00AD7F4B"/>
    <w:rsid w:val="00AE431D"/>
    <w:rsid w:val="00AE50E6"/>
    <w:rsid w:val="00AF33BC"/>
    <w:rsid w:val="00AF3739"/>
    <w:rsid w:val="00AF52AC"/>
    <w:rsid w:val="00B00BD4"/>
    <w:rsid w:val="00B00E0D"/>
    <w:rsid w:val="00B024EA"/>
    <w:rsid w:val="00B04E00"/>
    <w:rsid w:val="00B0660B"/>
    <w:rsid w:val="00B119C3"/>
    <w:rsid w:val="00B13CF2"/>
    <w:rsid w:val="00B152DC"/>
    <w:rsid w:val="00B1717C"/>
    <w:rsid w:val="00B174C6"/>
    <w:rsid w:val="00B22352"/>
    <w:rsid w:val="00B22988"/>
    <w:rsid w:val="00B25634"/>
    <w:rsid w:val="00B27A70"/>
    <w:rsid w:val="00B34CA1"/>
    <w:rsid w:val="00B360CB"/>
    <w:rsid w:val="00B411C8"/>
    <w:rsid w:val="00B45346"/>
    <w:rsid w:val="00B463F2"/>
    <w:rsid w:val="00B47BE3"/>
    <w:rsid w:val="00B50186"/>
    <w:rsid w:val="00B50512"/>
    <w:rsid w:val="00B51101"/>
    <w:rsid w:val="00B526D6"/>
    <w:rsid w:val="00B57660"/>
    <w:rsid w:val="00B577A3"/>
    <w:rsid w:val="00B60F00"/>
    <w:rsid w:val="00B64F10"/>
    <w:rsid w:val="00B64FF1"/>
    <w:rsid w:val="00B6561A"/>
    <w:rsid w:val="00B65D3E"/>
    <w:rsid w:val="00B6648A"/>
    <w:rsid w:val="00B676F0"/>
    <w:rsid w:val="00B7065A"/>
    <w:rsid w:val="00B70B45"/>
    <w:rsid w:val="00B745D9"/>
    <w:rsid w:val="00B755D4"/>
    <w:rsid w:val="00B760E7"/>
    <w:rsid w:val="00B7645D"/>
    <w:rsid w:val="00B7655F"/>
    <w:rsid w:val="00B77C29"/>
    <w:rsid w:val="00B84140"/>
    <w:rsid w:val="00B85327"/>
    <w:rsid w:val="00B8586E"/>
    <w:rsid w:val="00B8594E"/>
    <w:rsid w:val="00B90829"/>
    <w:rsid w:val="00B90BD3"/>
    <w:rsid w:val="00B91D07"/>
    <w:rsid w:val="00B94C43"/>
    <w:rsid w:val="00B95864"/>
    <w:rsid w:val="00B95D1A"/>
    <w:rsid w:val="00B96593"/>
    <w:rsid w:val="00B97E97"/>
    <w:rsid w:val="00BA0A59"/>
    <w:rsid w:val="00BA10B4"/>
    <w:rsid w:val="00BA37F3"/>
    <w:rsid w:val="00BA3E54"/>
    <w:rsid w:val="00BA4437"/>
    <w:rsid w:val="00BA5893"/>
    <w:rsid w:val="00BA61D5"/>
    <w:rsid w:val="00BB0AA2"/>
    <w:rsid w:val="00BB1A50"/>
    <w:rsid w:val="00BB1BB6"/>
    <w:rsid w:val="00BB1C8C"/>
    <w:rsid w:val="00BB48FE"/>
    <w:rsid w:val="00BB73C5"/>
    <w:rsid w:val="00BB7983"/>
    <w:rsid w:val="00BC0EBF"/>
    <w:rsid w:val="00BC39EA"/>
    <w:rsid w:val="00BC4F14"/>
    <w:rsid w:val="00BC571E"/>
    <w:rsid w:val="00BC5C38"/>
    <w:rsid w:val="00BC6937"/>
    <w:rsid w:val="00BC6AEB"/>
    <w:rsid w:val="00BC6D01"/>
    <w:rsid w:val="00BC7744"/>
    <w:rsid w:val="00BC7E3A"/>
    <w:rsid w:val="00BD0ED2"/>
    <w:rsid w:val="00BD172B"/>
    <w:rsid w:val="00BD19AE"/>
    <w:rsid w:val="00BD29AA"/>
    <w:rsid w:val="00BD2A12"/>
    <w:rsid w:val="00BD37F6"/>
    <w:rsid w:val="00BD3C88"/>
    <w:rsid w:val="00BD417A"/>
    <w:rsid w:val="00BD496C"/>
    <w:rsid w:val="00BD71C3"/>
    <w:rsid w:val="00BE1D32"/>
    <w:rsid w:val="00BE20B9"/>
    <w:rsid w:val="00BE3729"/>
    <w:rsid w:val="00BE43BA"/>
    <w:rsid w:val="00BF1E1F"/>
    <w:rsid w:val="00BF5394"/>
    <w:rsid w:val="00BF7087"/>
    <w:rsid w:val="00BF7105"/>
    <w:rsid w:val="00BF7339"/>
    <w:rsid w:val="00C01F9C"/>
    <w:rsid w:val="00C026B5"/>
    <w:rsid w:val="00C02996"/>
    <w:rsid w:val="00C0483D"/>
    <w:rsid w:val="00C04B4B"/>
    <w:rsid w:val="00C052D4"/>
    <w:rsid w:val="00C0550E"/>
    <w:rsid w:val="00C07A70"/>
    <w:rsid w:val="00C07CEA"/>
    <w:rsid w:val="00C10AC9"/>
    <w:rsid w:val="00C144EC"/>
    <w:rsid w:val="00C14D32"/>
    <w:rsid w:val="00C15B93"/>
    <w:rsid w:val="00C16E82"/>
    <w:rsid w:val="00C21D15"/>
    <w:rsid w:val="00C2781D"/>
    <w:rsid w:val="00C3062C"/>
    <w:rsid w:val="00C31C54"/>
    <w:rsid w:val="00C33380"/>
    <w:rsid w:val="00C34D7D"/>
    <w:rsid w:val="00C37697"/>
    <w:rsid w:val="00C42F4E"/>
    <w:rsid w:val="00C437B6"/>
    <w:rsid w:val="00C43976"/>
    <w:rsid w:val="00C453CD"/>
    <w:rsid w:val="00C46EE8"/>
    <w:rsid w:val="00C5093A"/>
    <w:rsid w:val="00C546BF"/>
    <w:rsid w:val="00C5494C"/>
    <w:rsid w:val="00C564DF"/>
    <w:rsid w:val="00C637C5"/>
    <w:rsid w:val="00C651FB"/>
    <w:rsid w:val="00C6732F"/>
    <w:rsid w:val="00C707C1"/>
    <w:rsid w:val="00C71BA1"/>
    <w:rsid w:val="00C738EE"/>
    <w:rsid w:val="00C74198"/>
    <w:rsid w:val="00C7424E"/>
    <w:rsid w:val="00C76499"/>
    <w:rsid w:val="00C76F5F"/>
    <w:rsid w:val="00C777A4"/>
    <w:rsid w:val="00C80016"/>
    <w:rsid w:val="00C806E7"/>
    <w:rsid w:val="00C810C5"/>
    <w:rsid w:val="00C825BA"/>
    <w:rsid w:val="00C83492"/>
    <w:rsid w:val="00C84120"/>
    <w:rsid w:val="00C90AAD"/>
    <w:rsid w:val="00C90E42"/>
    <w:rsid w:val="00C928FD"/>
    <w:rsid w:val="00C93D65"/>
    <w:rsid w:val="00C971A4"/>
    <w:rsid w:val="00CA10BC"/>
    <w:rsid w:val="00CA583B"/>
    <w:rsid w:val="00CA5A4F"/>
    <w:rsid w:val="00CA62B5"/>
    <w:rsid w:val="00CA7332"/>
    <w:rsid w:val="00CA7ACA"/>
    <w:rsid w:val="00CB0D36"/>
    <w:rsid w:val="00CB3155"/>
    <w:rsid w:val="00CB5C55"/>
    <w:rsid w:val="00CB6604"/>
    <w:rsid w:val="00CB695C"/>
    <w:rsid w:val="00CB7141"/>
    <w:rsid w:val="00CB72A6"/>
    <w:rsid w:val="00CC0507"/>
    <w:rsid w:val="00CC11EB"/>
    <w:rsid w:val="00CC1C8A"/>
    <w:rsid w:val="00CC2966"/>
    <w:rsid w:val="00CC4294"/>
    <w:rsid w:val="00CC6D2E"/>
    <w:rsid w:val="00CD1268"/>
    <w:rsid w:val="00CD77A0"/>
    <w:rsid w:val="00CD78BD"/>
    <w:rsid w:val="00CD7947"/>
    <w:rsid w:val="00CE068D"/>
    <w:rsid w:val="00CE342E"/>
    <w:rsid w:val="00CE62C8"/>
    <w:rsid w:val="00CF0E0F"/>
    <w:rsid w:val="00CF315E"/>
    <w:rsid w:val="00CF3DEE"/>
    <w:rsid w:val="00CF4395"/>
    <w:rsid w:val="00CF4E29"/>
    <w:rsid w:val="00CF54FC"/>
    <w:rsid w:val="00CF7C14"/>
    <w:rsid w:val="00D02E63"/>
    <w:rsid w:val="00D063F6"/>
    <w:rsid w:val="00D128F8"/>
    <w:rsid w:val="00D13241"/>
    <w:rsid w:val="00D1411B"/>
    <w:rsid w:val="00D1431E"/>
    <w:rsid w:val="00D1450F"/>
    <w:rsid w:val="00D21090"/>
    <w:rsid w:val="00D22959"/>
    <w:rsid w:val="00D23889"/>
    <w:rsid w:val="00D2474E"/>
    <w:rsid w:val="00D254B4"/>
    <w:rsid w:val="00D26ACA"/>
    <w:rsid w:val="00D33087"/>
    <w:rsid w:val="00D334F0"/>
    <w:rsid w:val="00D33CA4"/>
    <w:rsid w:val="00D34C7C"/>
    <w:rsid w:val="00D34F67"/>
    <w:rsid w:val="00D35009"/>
    <w:rsid w:val="00D402B2"/>
    <w:rsid w:val="00D404C8"/>
    <w:rsid w:val="00D4094C"/>
    <w:rsid w:val="00D412E8"/>
    <w:rsid w:val="00D4488D"/>
    <w:rsid w:val="00D451D5"/>
    <w:rsid w:val="00D471C5"/>
    <w:rsid w:val="00D501BB"/>
    <w:rsid w:val="00D525B1"/>
    <w:rsid w:val="00D56ECA"/>
    <w:rsid w:val="00D609D4"/>
    <w:rsid w:val="00D6114B"/>
    <w:rsid w:val="00D62FB6"/>
    <w:rsid w:val="00D66140"/>
    <w:rsid w:val="00D7031A"/>
    <w:rsid w:val="00D77538"/>
    <w:rsid w:val="00D779CB"/>
    <w:rsid w:val="00D80C52"/>
    <w:rsid w:val="00D81BB2"/>
    <w:rsid w:val="00D85E14"/>
    <w:rsid w:val="00D92A2E"/>
    <w:rsid w:val="00D9359F"/>
    <w:rsid w:val="00D9466D"/>
    <w:rsid w:val="00D95FB7"/>
    <w:rsid w:val="00D97A00"/>
    <w:rsid w:val="00DA0458"/>
    <w:rsid w:val="00DA05A6"/>
    <w:rsid w:val="00DA05CB"/>
    <w:rsid w:val="00DA11E0"/>
    <w:rsid w:val="00DA1B09"/>
    <w:rsid w:val="00DA2CAB"/>
    <w:rsid w:val="00DA34DB"/>
    <w:rsid w:val="00DA3AAC"/>
    <w:rsid w:val="00DA4852"/>
    <w:rsid w:val="00DA4AC2"/>
    <w:rsid w:val="00DA4FD2"/>
    <w:rsid w:val="00DA5C8F"/>
    <w:rsid w:val="00DA72D7"/>
    <w:rsid w:val="00DA7E54"/>
    <w:rsid w:val="00DB1096"/>
    <w:rsid w:val="00DB1321"/>
    <w:rsid w:val="00DB16C3"/>
    <w:rsid w:val="00DB30BB"/>
    <w:rsid w:val="00DB742D"/>
    <w:rsid w:val="00DC085F"/>
    <w:rsid w:val="00DC201A"/>
    <w:rsid w:val="00DC2489"/>
    <w:rsid w:val="00DC2A7F"/>
    <w:rsid w:val="00DC2AC7"/>
    <w:rsid w:val="00DC2DB1"/>
    <w:rsid w:val="00DC59C9"/>
    <w:rsid w:val="00DC6270"/>
    <w:rsid w:val="00DD0983"/>
    <w:rsid w:val="00DD7163"/>
    <w:rsid w:val="00DF13D3"/>
    <w:rsid w:val="00DF1ED4"/>
    <w:rsid w:val="00DF3085"/>
    <w:rsid w:val="00DF5A26"/>
    <w:rsid w:val="00DF62A7"/>
    <w:rsid w:val="00DF7AA1"/>
    <w:rsid w:val="00E00429"/>
    <w:rsid w:val="00E01C40"/>
    <w:rsid w:val="00E021D2"/>
    <w:rsid w:val="00E02294"/>
    <w:rsid w:val="00E033E6"/>
    <w:rsid w:val="00E05EF8"/>
    <w:rsid w:val="00E12810"/>
    <w:rsid w:val="00E1338C"/>
    <w:rsid w:val="00E13FD5"/>
    <w:rsid w:val="00E20418"/>
    <w:rsid w:val="00E212BA"/>
    <w:rsid w:val="00E23C09"/>
    <w:rsid w:val="00E2477F"/>
    <w:rsid w:val="00E24B22"/>
    <w:rsid w:val="00E27C7F"/>
    <w:rsid w:val="00E3132C"/>
    <w:rsid w:val="00E32894"/>
    <w:rsid w:val="00E33012"/>
    <w:rsid w:val="00E34714"/>
    <w:rsid w:val="00E3523F"/>
    <w:rsid w:val="00E354CA"/>
    <w:rsid w:val="00E356CF"/>
    <w:rsid w:val="00E3645D"/>
    <w:rsid w:val="00E36700"/>
    <w:rsid w:val="00E37D1B"/>
    <w:rsid w:val="00E40465"/>
    <w:rsid w:val="00E45A81"/>
    <w:rsid w:val="00E45B56"/>
    <w:rsid w:val="00E464A0"/>
    <w:rsid w:val="00E46D4E"/>
    <w:rsid w:val="00E47F64"/>
    <w:rsid w:val="00E528BA"/>
    <w:rsid w:val="00E55626"/>
    <w:rsid w:val="00E5693E"/>
    <w:rsid w:val="00E57001"/>
    <w:rsid w:val="00E603E7"/>
    <w:rsid w:val="00E609F8"/>
    <w:rsid w:val="00E617CD"/>
    <w:rsid w:val="00E631B9"/>
    <w:rsid w:val="00E6354F"/>
    <w:rsid w:val="00E64A06"/>
    <w:rsid w:val="00E7114F"/>
    <w:rsid w:val="00E71867"/>
    <w:rsid w:val="00E72453"/>
    <w:rsid w:val="00E725F4"/>
    <w:rsid w:val="00E73940"/>
    <w:rsid w:val="00E77337"/>
    <w:rsid w:val="00E77D4B"/>
    <w:rsid w:val="00E807C5"/>
    <w:rsid w:val="00E80818"/>
    <w:rsid w:val="00E83A68"/>
    <w:rsid w:val="00E8587F"/>
    <w:rsid w:val="00E8590E"/>
    <w:rsid w:val="00E86F47"/>
    <w:rsid w:val="00E86FAD"/>
    <w:rsid w:val="00E8731D"/>
    <w:rsid w:val="00E91A29"/>
    <w:rsid w:val="00E91A2E"/>
    <w:rsid w:val="00E92169"/>
    <w:rsid w:val="00E921E5"/>
    <w:rsid w:val="00E9459D"/>
    <w:rsid w:val="00E94633"/>
    <w:rsid w:val="00E96D56"/>
    <w:rsid w:val="00E96FCB"/>
    <w:rsid w:val="00E97462"/>
    <w:rsid w:val="00E97633"/>
    <w:rsid w:val="00EA2174"/>
    <w:rsid w:val="00EA3F1C"/>
    <w:rsid w:val="00EA58D4"/>
    <w:rsid w:val="00EB19B1"/>
    <w:rsid w:val="00EB1D90"/>
    <w:rsid w:val="00EB32B7"/>
    <w:rsid w:val="00EB4B6F"/>
    <w:rsid w:val="00EB5E66"/>
    <w:rsid w:val="00EB65FE"/>
    <w:rsid w:val="00EC3031"/>
    <w:rsid w:val="00EC34B1"/>
    <w:rsid w:val="00EC35B6"/>
    <w:rsid w:val="00EC38BD"/>
    <w:rsid w:val="00EC3B00"/>
    <w:rsid w:val="00EC5119"/>
    <w:rsid w:val="00EC52EE"/>
    <w:rsid w:val="00EC5605"/>
    <w:rsid w:val="00EC6D7F"/>
    <w:rsid w:val="00ED135F"/>
    <w:rsid w:val="00ED457F"/>
    <w:rsid w:val="00ED5DBB"/>
    <w:rsid w:val="00ED5E7E"/>
    <w:rsid w:val="00ED716B"/>
    <w:rsid w:val="00EE2983"/>
    <w:rsid w:val="00EE7087"/>
    <w:rsid w:val="00EE7EF6"/>
    <w:rsid w:val="00EF120B"/>
    <w:rsid w:val="00EF38EF"/>
    <w:rsid w:val="00EF4CF6"/>
    <w:rsid w:val="00EF5037"/>
    <w:rsid w:val="00EF61E6"/>
    <w:rsid w:val="00EF7E9F"/>
    <w:rsid w:val="00F025F6"/>
    <w:rsid w:val="00F02FC0"/>
    <w:rsid w:val="00F032A5"/>
    <w:rsid w:val="00F067DF"/>
    <w:rsid w:val="00F101EC"/>
    <w:rsid w:val="00F10D02"/>
    <w:rsid w:val="00F11350"/>
    <w:rsid w:val="00F11AC5"/>
    <w:rsid w:val="00F12307"/>
    <w:rsid w:val="00F12CD5"/>
    <w:rsid w:val="00F12CE4"/>
    <w:rsid w:val="00F15AAF"/>
    <w:rsid w:val="00F16961"/>
    <w:rsid w:val="00F17352"/>
    <w:rsid w:val="00F1792F"/>
    <w:rsid w:val="00F257EA"/>
    <w:rsid w:val="00F25D70"/>
    <w:rsid w:val="00F26A31"/>
    <w:rsid w:val="00F26B6B"/>
    <w:rsid w:val="00F27B70"/>
    <w:rsid w:val="00F30BD4"/>
    <w:rsid w:val="00F32A2B"/>
    <w:rsid w:val="00F32AD3"/>
    <w:rsid w:val="00F3378E"/>
    <w:rsid w:val="00F35D9B"/>
    <w:rsid w:val="00F43666"/>
    <w:rsid w:val="00F4471D"/>
    <w:rsid w:val="00F46727"/>
    <w:rsid w:val="00F46901"/>
    <w:rsid w:val="00F525A0"/>
    <w:rsid w:val="00F57CE1"/>
    <w:rsid w:val="00F6204C"/>
    <w:rsid w:val="00F62965"/>
    <w:rsid w:val="00F62C83"/>
    <w:rsid w:val="00F63957"/>
    <w:rsid w:val="00F63FB2"/>
    <w:rsid w:val="00F6438A"/>
    <w:rsid w:val="00F657AA"/>
    <w:rsid w:val="00F66948"/>
    <w:rsid w:val="00F67643"/>
    <w:rsid w:val="00F67740"/>
    <w:rsid w:val="00F70B8B"/>
    <w:rsid w:val="00F71847"/>
    <w:rsid w:val="00F72287"/>
    <w:rsid w:val="00F73EE1"/>
    <w:rsid w:val="00F7479E"/>
    <w:rsid w:val="00F74893"/>
    <w:rsid w:val="00F805FE"/>
    <w:rsid w:val="00F82E31"/>
    <w:rsid w:val="00F86979"/>
    <w:rsid w:val="00F86F94"/>
    <w:rsid w:val="00F90F09"/>
    <w:rsid w:val="00F91459"/>
    <w:rsid w:val="00F94B78"/>
    <w:rsid w:val="00F94F12"/>
    <w:rsid w:val="00F9780B"/>
    <w:rsid w:val="00FA0F7F"/>
    <w:rsid w:val="00FB1044"/>
    <w:rsid w:val="00FB1605"/>
    <w:rsid w:val="00FB55A9"/>
    <w:rsid w:val="00FB64F5"/>
    <w:rsid w:val="00FB73EA"/>
    <w:rsid w:val="00FB748B"/>
    <w:rsid w:val="00FC21D9"/>
    <w:rsid w:val="00FC35A1"/>
    <w:rsid w:val="00FC36AF"/>
    <w:rsid w:val="00FC45DD"/>
    <w:rsid w:val="00FC5AF0"/>
    <w:rsid w:val="00FC65D0"/>
    <w:rsid w:val="00FC66FF"/>
    <w:rsid w:val="00FC6C63"/>
    <w:rsid w:val="00FC721B"/>
    <w:rsid w:val="00FD12D3"/>
    <w:rsid w:val="00FD3B28"/>
    <w:rsid w:val="00FD4965"/>
    <w:rsid w:val="00FD4E95"/>
    <w:rsid w:val="00FD5B16"/>
    <w:rsid w:val="00FD6889"/>
    <w:rsid w:val="00FD6952"/>
    <w:rsid w:val="00FD6D4A"/>
    <w:rsid w:val="00FD79FD"/>
    <w:rsid w:val="00FE0779"/>
    <w:rsid w:val="00FE080C"/>
    <w:rsid w:val="00FE1FF9"/>
    <w:rsid w:val="00FE3326"/>
    <w:rsid w:val="00FE769E"/>
    <w:rsid w:val="00FF05EA"/>
    <w:rsid w:val="00FF11F2"/>
    <w:rsid w:val="00FF1921"/>
    <w:rsid w:val="00FF482C"/>
    <w:rsid w:val="00FF4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64DD8D"/>
  <w15:docId w15:val="{F069CC7C-14C8-4DBA-9706-ABB5F2611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7744"/>
    <w:pPr>
      <w:spacing w:after="0" w:line="240" w:lineRule="auto"/>
    </w:pPr>
    <w:rPr>
      <w:rFonts w:ascii="Times New Roman" w:eastAsia="Times New Roman" w:hAnsi="Times New Roman" w:cs="Times New Roman"/>
      <w:sz w:val="24"/>
      <w:szCs w:val="24"/>
    </w:rPr>
  </w:style>
  <w:style w:type="paragraph" w:styleId="Heading1">
    <w:name w:val="heading 1"/>
    <w:aliases w:val="APA Level 5"/>
    <w:basedOn w:val="Normal"/>
    <w:next w:val="Normal"/>
    <w:link w:val="Heading1Char"/>
    <w:uiPriority w:val="9"/>
    <w:qFormat/>
    <w:rsid w:val="0096461C"/>
    <w:pPr>
      <w:keepNext/>
      <w:jc w:val="center"/>
      <w:outlineLvl w:val="0"/>
    </w:pPr>
    <w:rPr>
      <w:rFonts w:ascii="Georgia" w:hAnsi="Georgia" w:cs="Tahoma"/>
      <w:i/>
      <w:color w:val="000000"/>
      <w:sz w:val="48"/>
      <w:szCs w:val="96"/>
    </w:rPr>
  </w:style>
  <w:style w:type="paragraph" w:styleId="Heading2">
    <w:name w:val="heading 2"/>
    <w:basedOn w:val="Normal"/>
    <w:next w:val="Normal"/>
    <w:link w:val="Heading2Char"/>
    <w:uiPriority w:val="9"/>
    <w:qFormat/>
    <w:rsid w:val="0096461C"/>
    <w:pPr>
      <w:keepNext/>
      <w:outlineLvl w:val="1"/>
    </w:pPr>
    <w:rPr>
      <w:iCs/>
      <w:sz w:val="28"/>
    </w:rPr>
  </w:style>
  <w:style w:type="paragraph" w:styleId="Heading3">
    <w:name w:val="heading 3"/>
    <w:basedOn w:val="Normal"/>
    <w:next w:val="Normal"/>
    <w:link w:val="Heading3Char"/>
    <w:uiPriority w:val="9"/>
    <w:qFormat/>
    <w:rsid w:val="0096461C"/>
    <w:pPr>
      <w:keepNext/>
      <w:jc w:val="center"/>
      <w:outlineLvl w:val="2"/>
    </w:pPr>
    <w:rPr>
      <w:sz w:val="28"/>
    </w:rPr>
  </w:style>
  <w:style w:type="paragraph" w:styleId="Heading4">
    <w:name w:val="heading 4"/>
    <w:basedOn w:val="Normal"/>
    <w:next w:val="Normal"/>
    <w:link w:val="Heading4Char"/>
    <w:uiPriority w:val="9"/>
    <w:qFormat/>
    <w:rsid w:val="003B0C8B"/>
    <w:pPr>
      <w:keepNext/>
      <w:tabs>
        <w:tab w:val="num" w:pos="2520"/>
      </w:tabs>
      <w:spacing w:before="240" w:after="60"/>
      <w:ind w:left="2160"/>
      <w:outlineLvl w:val="3"/>
    </w:pPr>
    <w:rPr>
      <w:b/>
      <w:sz w:val="28"/>
    </w:rPr>
  </w:style>
  <w:style w:type="paragraph" w:styleId="Heading5">
    <w:name w:val="heading 5"/>
    <w:basedOn w:val="Normal"/>
    <w:next w:val="Normal"/>
    <w:link w:val="Heading5Char"/>
    <w:uiPriority w:val="9"/>
    <w:qFormat/>
    <w:rsid w:val="003B0C8B"/>
    <w:pPr>
      <w:tabs>
        <w:tab w:val="num" w:pos="3240"/>
      </w:tabs>
      <w:spacing w:before="240" w:after="60"/>
      <w:ind w:left="2880"/>
      <w:outlineLvl w:val="4"/>
    </w:pPr>
    <w:rPr>
      <w:b/>
      <w:i/>
      <w:sz w:val="26"/>
    </w:rPr>
  </w:style>
  <w:style w:type="paragraph" w:styleId="Heading6">
    <w:name w:val="heading 6"/>
    <w:basedOn w:val="Normal"/>
    <w:next w:val="Normal"/>
    <w:link w:val="Heading6Char"/>
    <w:uiPriority w:val="9"/>
    <w:qFormat/>
    <w:rsid w:val="003B0C8B"/>
    <w:pPr>
      <w:tabs>
        <w:tab w:val="num" w:pos="3960"/>
      </w:tabs>
      <w:spacing w:before="240" w:after="60"/>
      <w:ind w:left="3600"/>
      <w:outlineLvl w:val="5"/>
    </w:pPr>
    <w:rPr>
      <w:b/>
      <w:sz w:val="22"/>
    </w:rPr>
  </w:style>
  <w:style w:type="paragraph" w:styleId="Heading7">
    <w:name w:val="heading 7"/>
    <w:basedOn w:val="Normal"/>
    <w:next w:val="Normal"/>
    <w:link w:val="Heading7Char"/>
    <w:uiPriority w:val="9"/>
    <w:qFormat/>
    <w:rsid w:val="003B0C8B"/>
    <w:pPr>
      <w:tabs>
        <w:tab w:val="num" w:pos="4680"/>
      </w:tabs>
      <w:spacing w:before="240" w:after="60"/>
      <w:ind w:left="4320"/>
      <w:outlineLvl w:val="6"/>
    </w:pPr>
  </w:style>
  <w:style w:type="paragraph" w:styleId="Heading8">
    <w:name w:val="heading 8"/>
    <w:basedOn w:val="Normal"/>
    <w:next w:val="Normal"/>
    <w:link w:val="Heading8Char"/>
    <w:uiPriority w:val="9"/>
    <w:qFormat/>
    <w:rsid w:val="003B0C8B"/>
    <w:pPr>
      <w:tabs>
        <w:tab w:val="num" w:pos="5400"/>
      </w:tabs>
      <w:spacing w:before="240" w:after="60"/>
      <w:ind w:left="5040"/>
      <w:outlineLvl w:val="7"/>
    </w:pPr>
    <w:rPr>
      <w:i/>
    </w:rPr>
  </w:style>
  <w:style w:type="paragraph" w:styleId="Heading9">
    <w:name w:val="heading 9"/>
    <w:basedOn w:val="Normal"/>
    <w:next w:val="Normal"/>
    <w:link w:val="Heading9Char"/>
    <w:uiPriority w:val="9"/>
    <w:qFormat/>
    <w:rsid w:val="003B0C8B"/>
    <w:pPr>
      <w:tabs>
        <w:tab w:val="num" w:pos="6120"/>
      </w:tabs>
      <w:spacing w:before="240" w:after="60"/>
      <w:ind w:left="57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PA Level 5 Char"/>
    <w:basedOn w:val="DefaultParagraphFont"/>
    <w:link w:val="Heading1"/>
    <w:uiPriority w:val="9"/>
    <w:rsid w:val="0096461C"/>
    <w:rPr>
      <w:rFonts w:ascii="Georgia" w:eastAsia="Times New Roman" w:hAnsi="Georgia" w:cs="Tahoma"/>
      <w:i/>
      <w:color w:val="000000"/>
      <w:sz w:val="48"/>
      <w:szCs w:val="96"/>
    </w:rPr>
  </w:style>
  <w:style w:type="character" w:customStyle="1" w:styleId="Heading2Char">
    <w:name w:val="Heading 2 Char"/>
    <w:basedOn w:val="DefaultParagraphFont"/>
    <w:link w:val="Heading2"/>
    <w:uiPriority w:val="9"/>
    <w:rsid w:val="0096461C"/>
    <w:rPr>
      <w:rFonts w:ascii="Times New Roman" w:eastAsia="Times New Roman" w:hAnsi="Times New Roman" w:cs="Times New Roman"/>
      <w:iCs/>
      <w:sz w:val="28"/>
      <w:szCs w:val="24"/>
    </w:rPr>
  </w:style>
  <w:style w:type="character" w:customStyle="1" w:styleId="Heading3Char">
    <w:name w:val="Heading 3 Char"/>
    <w:basedOn w:val="DefaultParagraphFont"/>
    <w:link w:val="Heading3"/>
    <w:uiPriority w:val="9"/>
    <w:rsid w:val="0096461C"/>
    <w:rPr>
      <w:rFonts w:ascii="Times New Roman" w:eastAsia="Times New Roman" w:hAnsi="Times New Roman" w:cs="Times New Roman"/>
      <w:sz w:val="28"/>
      <w:szCs w:val="24"/>
    </w:rPr>
  </w:style>
  <w:style w:type="paragraph" w:styleId="Footer">
    <w:name w:val="footer"/>
    <w:basedOn w:val="Normal"/>
    <w:link w:val="FooterChar"/>
    <w:uiPriority w:val="99"/>
    <w:rsid w:val="0096461C"/>
    <w:pPr>
      <w:tabs>
        <w:tab w:val="center" w:pos="4320"/>
        <w:tab w:val="right" w:pos="8640"/>
      </w:tabs>
    </w:pPr>
  </w:style>
  <w:style w:type="character" w:customStyle="1" w:styleId="FooterChar">
    <w:name w:val="Footer Char"/>
    <w:basedOn w:val="DefaultParagraphFont"/>
    <w:link w:val="Footer"/>
    <w:uiPriority w:val="99"/>
    <w:rsid w:val="0096461C"/>
    <w:rPr>
      <w:rFonts w:ascii="Times New Roman" w:eastAsia="Times New Roman" w:hAnsi="Times New Roman" w:cs="Times New Roman"/>
      <w:sz w:val="24"/>
      <w:szCs w:val="24"/>
    </w:rPr>
  </w:style>
  <w:style w:type="character" w:styleId="PageNumber">
    <w:name w:val="page number"/>
    <w:basedOn w:val="DefaultParagraphFont"/>
    <w:uiPriority w:val="99"/>
    <w:rsid w:val="0096461C"/>
  </w:style>
  <w:style w:type="paragraph" w:styleId="NoSpacing">
    <w:name w:val="No Spacing"/>
    <w:link w:val="NoSpacingChar"/>
    <w:uiPriority w:val="1"/>
    <w:qFormat/>
    <w:rsid w:val="0096461C"/>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96461C"/>
    <w:rPr>
      <w:color w:val="0000FF"/>
      <w:u w:val="single"/>
    </w:rPr>
  </w:style>
  <w:style w:type="paragraph" w:styleId="BodyTextIndent">
    <w:name w:val="Body Text Indent"/>
    <w:basedOn w:val="Normal"/>
    <w:link w:val="BodyTextIndentChar"/>
    <w:rsid w:val="0096461C"/>
    <w:pPr>
      <w:spacing w:after="120"/>
      <w:ind w:left="360"/>
    </w:pPr>
  </w:style>
  <w:style w:type="character" w:customStyle="1" w:styleId="BodyTextIndentChar">
    <w:name w:val="Body Text Indent Char"/>
    <w:basedOn w:val="DefaultParagraphFont"/>
    <w:link w:val="BodyTextIndent"/>
    <w:rsid w:val="0096461C"/>
    <w:rPr>
      <w:rFonts w:ascii="Times New Roman" w:eastAsia="Times New Roman" w:hAnsi="Times New Roman" w:cs="Times New Roman"/>
      <w:sz w:val="24"/>
      <w:szCs w:val="24"/>
    </w:rPr>
  </w:style>
  <w:style w:type="paragraph" w:styleId="BlockText">
    <w:name w:val="Block Text"/>
    <w:basedOn w:val="Normal"/>
    <w:rsid w:val="0096461C"/>
    <w:pPr>
      <w:ind w:left="720" w:right="720"/>
    </w:pPr>
    <w:rPr>
      <w:sz w:val="20"/>
    </w:rPr>
  </w:style>
  <w:style w:type="paragraph" w:styleId="FootnoteText">
    <w:name w:val="footnote text"/>
    <w:basedOn w:val="Normal"/>
    <w:link w:val="FootnoteTextChar"/>
    <w:uiPriority w:val="99"/>
    <w:rsid w:val="0096461C"/>
    <w:rPr>
      <w:rFonts w:eastAsia="SimSun"/>
      <w:sz w:val="20"/>
      <w:szCs w:val="20"/>
      <w:lang w:eastAsia="zh-CN"/>
    </w:rPr>
  </w:style>
  <w:style w:type="character" w:customStyle="1" w:styleId="FootnoteTextChar">
    <w:name w:val="Footnote Text Char"/>
    <w:basedOn w:val="DefaultParagraphFont"/>
    <w:link w:val="FootnoteText"/>
    <w:uiPriority w:val="99"/>
    <w:rsid w:val="0096461C"/>
    <w:rPr>
      <w:rFonts w:ascii="Times New Roman" w:eastAsia="SimSun" w:hAnsi="Times New Roman" w:cs="Times New Roman"/>
      <w:sz w:val="20"/>
      <w:szCs w:val="20"/>
      <w:lang w:eastAsia="zh-CN"/>
    </w:rPr>
  </w:style>
  <w:style w:type="character" w:styleId="FootnoteReference">
    <w:name w:val="footnote reference"/>
    <w:basedOn w:val="DefaultParagraphFont"/>
    <w:uiPriority w:val="99"/>
    <w:rsid w:val="0096461C"/>
    <w:rPr>
      <w:vertAlign w:val="superscript"/>
    </w:rPr>
  </w:style>
  <w:style w:type="character" w:customStyle="1" w:styleId="topname">
    <w:name w:val="topname"/>
    <w:basedOn w:val="DefaultParagraphFont"/>
    <w:rsid w:val="0096461C"/>
  </w:style>
  <w:style w:type="paragraph" w:styleId="ListParagraph">
    <w:name w:val="List Paragraph"/>
    <w:basedOn w:val="Normal"/>
    <w:uiPriority w:val="34"/>
    <w:qFormat/>
    <w:rsid w:val="0056000D"/>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56000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uiPriority w:val="20"/>
    <w:qFormat/>
    <w:rsid w:val="0056000D"/>
    <w:rPr>
      <w:i/>
      <w:iCs/>
    </w:rPr>
  </w:style>
  <w:style w:type="character" w:styleId="Strong">
    <w:name w:val="Strong"/>
    <w:basedOn w:val="DefaultParagraphFont"/>
    <w:uiPriority w:val="22"/>
    <w:qFormat/>
    <w:rsid w:val="0056000D"/>
    <w:rPr>
      <w:b/>
      <w:bCs/>
    </w:rPr>
  </w:style>
  <w:style w:type="paragraph" w:styleId="BalloonText">
    <w:name w:val="Balloon Text"/>
    <w:basedOn w:val="Normal"/>
    <w:link w:val="BalloonTextChar"/>
    <w:uiPriority w:val="99"/>
    <w:semiHidden/>
    <w:unhideWhenUsed/>
    <w:rsid w:val="00184B89"/>
    <w:rPr>
      <w:rFonts w:ascii="Tahoma" w:hAnsi="Tahoma" w:cs="Tahoma"/>
      <w:sz w:val="16"/>
      <w:szCs w:val="16"/>
    </w:rPr>
  </w:style>
  <w:style w:type="character" w:customStyle="1" w:styleId="BalloonTextChar">
    <w:name w:val="Balloon Text Char"/>
    <w:basedOn w:val="DefaultParagraphFont"/>
    <w:link w:val="BalloonText"/>
    <w:uiPriority w:val="99"/>
    <w:semiHidden/>
    <w:rsid w:val="00184B89"/>
    <w:rPr>
      <w:rFonts w:ascii="Tahoma" w:eastAsia="Times New Roman" w:hAnsi="Tahoma" w:cs="Tahoma"/>
      <w:sz w:val="16"/>
      <w:szCs w:val="16"/>
    </w:rPr>
  </w:style>
  <w:style w:type="character" w:customStyle="1" w:styleId="cesresulturi">
    <w:name w:val="cesresulturi"/>
    <w:basedOn w:val="DefaultParagraphFont"/>
    <w:rsid w:val="00661B0B"/>
  </w:style>
  <w:style w:type="paragraph" w:styleId="PlainText">
    <w:name w:val="Plain Text"/>
    <w:basedOn w:val="Normal"/>
    <w:link w:val="PlainTextChar"/>
    <w:uiPriority w:val="99"/>
    <w:unhideWhenUsed/>
    <w:rsid w:val="00661B0B"/>
    <w:rPr>
      <w:rFonts w:ascii="Georgia" w:eastAsiaTheme="minorHAnsi" w:hAnsi="Georgia" w:cstheme="minorBidi"/>
      <w:sz w:val="21"/>
      <w:szCs w:val="21"/>
    </w:rPr>
  </w:style>
  <w:style w:type="character" w:customStyle="1" w:styleId="PlainTextChar">
    <w:name w:val="Plain Text Char"/>
    <w:basedOn w:val="DefaultParagraphFont"/>
    <w:link w:val="PlainText"/>
    <w:uiPriority w:val="99"/>
    <w:rsid w:val="00661B0B"/>
    <w:rPr>
      <w:rFonts w:ascii="Georgia" w:hAnsi="Georgia"/>
      <w:sz w:val="21"/>
      <w:szCs w:val="21"/>
    </w:rPr>
  </w:style>
  <w:style w:type="paragraph" w:styleId="Header">
    <w:name w:val="header"/>
    <w:basedOn w:val="Normal"/>
    <w:link w:val="HeaderChar"/>
    <w:uiPriority w:val="99"/>
    <w:unhideWhenUsed/>
    <w:rsid w:val="00261AE2"/>
    <w:pPr>
      <w:tabs>
        <w:tab w:val="center" w:pos="4680"/>
        <w:tab w:val="right" w:pos="9360"/>
      </w:tabs>
    </w:pPr>
  </w:style>
  <w:style w:type="character" w:customStyle="1" w:styleId="HeaderChar">
    <w:name w:val="Header Char"/>
    <w:basedOn w:val="DefaultParagraphFont"/>
    <w:link w:val="Header"/>
    <w:uiPriority w:val="99"/>
    <w:rsid w:val="00261AE2"/>
    <w:rPr>
      <w:rFonts w:ascii="Times New Roman" w:eastAsia="Times New Roman" w:hAnsi="Times New Roman" w:cs="Times New Roman"/>
      <w:sz w:val="24"/>
      <w:szCs w:val="24"/>
    </w:rPr>
  </w:style>
  <w:style w:type="character" w:customStyle="1" w:styleId="body0020stylechar1">
    <w:name w:val="body_0020style__char1"/>
    <w:basedOn w:val="DefaultParagraphFont"/>
    <w:rsid w:val="00E603E7"/>
    <w:rPr>
      <w:rFonts w:ascii="Courier Bold" w:hAnsi="Courier Bold" w:hint="default"/>
      <w:b/>
      <w:bCs/>
      <w:strike w:val="0"/>
      <w:dstrike w:val="0"/>
      <w:sz w:val="24"/>
      <w:szCs w:val="24"/>
      <w:u w:val="none"/>
      <w:effect w:val="none"/>
    </w:rPr>
  </w:style>
  <w:style w:type="character" w:customStyle="1" w:styleId="normalchar1">
    <w:name w:val="normal__char1"/>
    <w:basedOn w:val="DefaultParagraphFont"/>
    <w:rsid w:val="00E603E7"/>
    <w:rPr>
      <w:rFonts w:ascii="Univers" w:hAnsi="Univers" w:hint="default"/>
      <w:strike w:val="0"/>
      <w:dstrike w:val="0"/>
      <w:sz w:val="24"/>
      <w:szCs w:val="24"/>
      <w:u w:val="none"/>
      <w:effect w:val="none"/>
    </w:rPr>
  </w:style>
  <w:style w:type="paragraph" w:customStyle="1" w:styleId="Normal1">
    <w:name w:val="Normal1"/>
    <w:basedOn w:val="Normal"/>
    <w:rsid w:val="00E603E7"/>
    <w:rPr>
      <w:rFonts w:ascii="Univers" w:hAnsi="Univers"/>
    </w:rPr>
  </w:style>
  <w:style w:type="paragraph" w:customStyle="1" w:styleId="body-paragraph">
    <w:name w:val="body-paragraph"/>
    <w:basedOn w:val="Normal"/>
    <w:rsid w:val="00E603E7"/>
    <w:pPr>
      <w:spacing w:before="100" w:beforeAutospacing="1" w:after="100" w:afterAutospacing="1"/>
    </w:pPr>
  </w:style>
  <w:style w:type="paragraph" w:styleId="BodyText">
    <w:name w:val="Body Text"/>
    <w:basedOn w:val="Normal"/>
    <w:link w:val="BodyTextChar"/>
    <w:uiPriority w:val="1"/>
    <w:unhideWhenUsed/>
    <w:qFormat/>
    <w:rsid w:val="00544374"/>
    <w:pPr>
      <w:spacing w:after="120"/>
    </w:pPr>
  </w:style>
  <w:style w:type="character" w:customStyle="1" w:styleId="BodyTextChar">
    <w:name w:val="Body Text Char"/>
    <w:basedOn w:val="DefaultParagraphFont"/>
    <w:link w:val="BodyText"/>
    <w:uiPriority w:val="99"/>
    <w:rsid w:val="00544374"/>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544374"/>
    <w:rPr>
      <w:i w:val="0"/>
      <w:iCs w:val="0"/>
      <w:color w:val="388222"/>
    </w:rPr>
  </w:style>
  <w:style w:type="character" w:customStyle="1" w:styleId="NoSpacingChar">
    <w:name w:val="No Spacing Char"/>
    <w:basedOn w:val="DefaultParagraphFont"/>
    <w:link w:val="NoSpacing"/>
    <w:uiPriority w:val="1"/>
    <w:rsid w:val="00544374"/>
    <w:rPr>
      <w:rFonts w:ascii="Calibri" w:eastAsia="Calibri" w:hAnsi="Calibri" w:cs="Times New Roman"/>
    </w:rPr>
  </w:style>
  <w:style w:type="paragraph" w:styleId="Title">
    <w:name w:val="Title"/>
    <w:basedOn w:val="Normal"/>
    <w:link w:val="TitleChar"/>
    <w:uiPriority w:val="10"/>
    <w:qFormat/>
    <w:rsid w:val="00544374"/>
    <w:pPr>
      <w:jc w:val="center"/>
    </w:pPr>
    <w:rPr>
      <w:rFonts w:ascii="Arial" w:hAnsi="Arial"/>
      <w:b/>
      <w:szCs w:val="20"/>
    </w:rPr>
  </w:style>
  <w:style w:type="character" w:customStyle="1" w:styleId="TitleChar">
    <w:name w:val="Title Char"/>
    <w:basedOn w:val="DefaultParagraphFont"/>
    <w:link w:val="Title"/>
    <w:uiPriority w:val="10"/>
    <w:rsid w:val="00544374"/>
    <w:rPr>
      <w:rFonts w:ascii="Arial" w:eastAsia="Times New Roman" w:hAnsi="Arial" w:cs="Times New Roman"/>
      <w:b/>
      <w:sz w:val="24"/>
      <w:szCs w:val="20"/>
    </w:rPr>
  </w:style>
  <w:style w:type="paragraph" w:styleId="NormalWeb">
    <w:name w:val="Normal (Web)"/>
    <w:basedOn w:val="Normal"/>
    <w:uiPriority w:val="99"/>
    <w:unhideWhenUsed/>
    <w:rsid w:val="0021220D"/>
    <w:pPr>
      <w:spacing w:before="100" w:beforeAutospacing="1" w:after="100" w:afterAutospacing="1"/>
    </w:pPr>
  </w:style>
  <w:style w:type="paragraph" w:styleId="DocumentMap">
    <w:name w:val="Document Map"/>
    <w:basedOn w:val="Normal"/>
    <w:link w:val="DocumentMapChar"/>
    <w:uiPriority w:val="99"/>
    <w:semiHidden/>
    <w:unhideWhenUsed/>
    <w:rsid w:val="00B6561A"/>
    <w:rPr>
      <w:rFonts w:ascii="Tahoma" w:hAnsi="Tahoma" w:cs="Tahoma"/>
      <w:sz w:val="16"/>
      <w:szCs w:val="16"/>
    </w:rPr>
  </w:style>
  <w:style w:type="character" w:customStyle="1" w:styleId="DocumentMapChar">
    <w:name w:val="Document Map Char"/>
    <w:basedOn w:val="DefaultParagraphFont"/>
    <w:link w:val="DocumentMap"/>
    <w:uiPriority w:val="99"/>
    <w:semiHidden/>
    <w:rsid w:val="00B6561A"/>
    <w:rPr>
      <w:rFonts w:ascii="Tahoma" w:eastAsia="Times New Roman" w:hAnsi="Tahoma" w:cs="Tahoma"/>
      <w:sz w:val="16"/>
      <w:szCs w:val="16"/>
    </w:rPr>
  </w:style>
  <w:style w:type="paragraph" w:customStyle="1" w:styleId="Pa10">
    <w:name w:val="Pa10"/>
    <w:basedOn w:val="Normal"/>
    <w:next w:val="Normal"/>
    <w:uiPriority w:val="99"/>
    <w:rsid w:val="00F26A31"/>
    <w:pPr>
      <w:autoSpaceDE w:val="0"/>
      <w:autoSpaceDN w:val="0"/>
      <w:adjustRightInd w:val="0"/>
      <w:spacing w:line="241" w:lineRule="atLeast"/>
    </w:pPr>
    <w:rPr>
      <w:rFonts w:ascii="Berling Roman" w:eastAsia="Calibri" w:hAnsi="Berling Roman"/>
    </w:rPr>
  </w:style>
  <w:style w:type="character" w:customStyle="1" w:styleId="mcontent">
    <w:name w:val="mcontent"/>
    <w:basedOn w:val="DefaultParagraphFont"/>
    <w:uiPriority w:val="99"/>
    <w:rsid w:val="00F26A31"/>
    <w:rPr>
      <w:rFonts w:cs="Times New Roman"/>
    </w:rPr>
  </w:style>
  <w:style w:type="character" w:customStyle="1" w:styleId="fadewordcontainer">
    <w:name w:val="fadewordcontainer"/>
    <w:basedOn w:val="DefaultParagraphFont"/>
    <w:uiPriority w:val="99"/>
    <w:rsid w:val="00F26A31"/>
    <w:rPr>
      <w:rFonts w:cs="Times New Roman"/>
    </w:rPr>
  </w:style>
  <w:style w:type="paragraph" w:customStyle="1" w:styleId="Pa1">
    <w:name w:val="Pa1"/>
    <w:basedOn w:val="Normal"/>
    <w:next w:val="Normal"/>
    <w:uiPriority w:val="99"/>
    <w:rsid w:val="00F26A31"/>
    <w:pPr>
      <w:autoSpaceDE w:val="0"/>
      <w:autoSpaceDN w:val="0"/>
      <w:adjustRightInd w:val="0"/>
      <w:spacing w:line="241" w:lineRule="atLeast"/>
    </w:pPr>
    <w:rPr>
      <w:rFonts w:ascii="Garamond" w:hAnsi="Garamond"/>
    </w:rPr>
  </w:style>
  <w:style w:type="paragraph" w:customStyle="1" w:styleId="medium-bold">
    <w:name w:val="medium-bold"/>
    <w:basedOn w:val="Normal"/>
    <w:rsid w:val="00F26A31"/>
    <w:pPr>
      <w:spacing w:before="100" w:beforeAutospacing="1" w:after="100" w:afterAutospacing="1"/>
    </w:pPr>
  </w:style>
  <w:style w:type="paragraph" w:customStyle="1" w:styleId="Default">
    <w:name w:val="Default"/>
    <w:rsid w:val="00BE43BA"/>
    <w:pPr>
      <w:autoSpaceDE w:val="0"/>
      <w:autoSpaceDN w:val="0"/>
      <w:adjustRightInd w:val="0"/>
      <w:spacing w:after="0" w:line="240" w:lineRule="auto"/>
    </w:pPr>
    <w:rPr>
      <w:rFonts w:ascii="Cheltenham" w:hAnsi="Cheltenham" w:cs="Cheltenham"/>
      <w:color w:val="000000"/>
      <w:sz w:val="24"/>
      <w:szCs w:val="24"/>
    </w:rPr>
  </w:style>
  <w:style w:type="paragraph" w:styleId="BodyTextIndent2">
    <w:name w:val="Body Text Indent 2"/>
    <w:basedOn w:val="Normal"/>
    <w:link w:val="BodyTextIndent2Char"/>
    <w:uiPriority w:val="99"/>
    <w:semiHidden/>
    <w:unhideWhenUsed/>
    <w:rsid w:val="00C46EE8"/>
    <w:pPr>
      <w:spacing w:after="120" w:line="480" w:lineRule="auto"/>
      <w:ind w:left="360"/>
    </w:pPr>
  </w:style>
  <w:style w:type="character" w:customStyle="1" w:styleId="BodyTextIndent2Char">
    <w:name w:val="Body Text Indent 2 Char"/>
    <w:basedOn w:val="DefaultParagraphFont"/>
    <w:link w:val="BodyTextIndent2"/>
    <w:uiPriority w:val="99"/>
    <w:semiHidden/>
    <w:rsid w:val="00C46EE8"/>
    <w:rPr>
      <w:rFonts w:ascii="Times New Roman" w:eastAsia="Times New Roman" w:hAnsi="Times New Roman" w:cs="Times New Roman"/>
      <w:sz w:val="24"/>
      <w:szCs w:val="24"/>
    </w:rPr>
  </w:style>
  <w:style w:type="paragraph" w:customStyle="1" w:styleId="style15">
    <w:name w:val="style15"/>
    <w:basedOn w:val="Normal"/>
    <w:uiPriority w:val="99"/>
    <w:rsid w:val="00C46EE8"/>
    <w:pPr>
      <w:spacing w:before="100" w:beforeAutospacing="1" w:after="100" w:afterAutospacing="1"/>
    </w:pPr>
    <w:rPr>
      <w:rFonts w:ascii="Arial" w:eastAsia="MS ??" w:hAnsi="Arial" w:cs="Arial"/>
    </w:rPr>
  </w:style>
  <w:style w:type="character" w:customStyle="1" w:styleId="style11">
    <w:name w:val="style11"/>
    <w:basedOn w:val="DefaultParagraphFont"/>
    <w:uiPriority w:val="99"/>
    <w:rsid w:val="00C46EE8"/>
    <w:rPr>
      <w:rFonts w:ascii="Arial" w:hAnsi="Arial" w:cs="Arial"/>
      <w:sz w:val="14"/>
      <w:szCs w:val="14"/>
    </w:rPr>
  </w:style>
  <w:style w:type="paragraph" w:styleId="Bibliography">
    <w:name w:val="Bibliography"/>
    <w:basedOn w:val="Normal"/>
    <w:next w:val="Normal"/>
    <w:uiPriority w:val="37"/>
    <w:semiHidden/>
    <w:unhideWhenUsed/>
    <w:rsid w:val="00E33012"/>
  </w:style>
  <w:style w:type="table" w:customStyle="1" w:styleId="TableGrid1">
    <w:name w:val="Table Grid1"/>
    <w:basedOn w:val="TableNormal"/>
    <w:next w:val="TableGrid"/>
    <w:uiPriority w:val="39"/>
    <w:rsid w:val="001A25C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2C16A7"/>
    <w:pPr>
      <w:spacing w:after="0" w:line="240" w:lineRule="auto"/>
    </w:pPr>
    <w:rPr>
      <w:rFonts w:ascii="Cambria" w:eastAsia="MS Mincho" w:hAnsi="Cambria" w:cs="Times New Roman"/>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F16961"/>
    <w:pPr>
      <w:ind w:left="720"/>
      <w:contextualSpacing/>
    </w:pPr>
  </w:style>
  <w:style w:type="character" w:styleId="CommentReference">
    <w:name w:val="annotation reference"/>
    <w:uiPriority w:val="99"/>
    <w:semiHidden/>
    <w:unhideWhenUsed/>
    <w:rsid w:val="00F16961"/>
    <w:rPr>
      <w:sz w:val="18"/>
      <w:szCs w:val="18"/>
    </w:rPr>
  </w:style>
  <w:style w:type="paragraph" w:styleId="CommentText">
    <w:name w:val="annotation text"/>
    <w:basedOn w:val="Normal"/>
    <w:link w:val="CommentTextChar"/>
    <w:uiPriority w:val="99"/>
    <w:unhideWhenUsed/>
    <w:rsid w:val="00F16961"/>
  </w:style>
  <w:style w:type="character" w:customStyle="1" w:styleId="CommentTextChar">
    <w:name w:val="Comment Text Char"/>
    <w:basedOn w:val="DefaultParagraphFont"/>
    <w:link w:val="CommentText"/>
    <w:uiPriority w:val="99"/>
    <w:rsid w:val="00F16961"/>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F16961"/>
    <w:rPr>
      <w:b/>
      <w:bCs/>
      <w:sz w:val="20"/>
      <w:szCs w:val="20"/>
    </w:rPr>
  </w:style>
  <w:style w:type="character" w:customStyle="1" w:styleId="CommentSubjectChar">
    <w:name w:val="Comment Subject Char"/>
    <w:basedOn w:val="CommentTextChar"/>
    <w:link w:val="CommentSubject"/>
    <w:uiPriority w:val="99"/>
    <w:semiHidden/>
    <w:rsid w:val="00F16961"/>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uiPriority w:val="9"/>
    <w:rsid w:val="003B0C8B"/>
    <w:rPr>
      <w:rFonts w:ascii="Times New Roman" w:eastAsia="Times New Roman" w:hAnsi="Times New Roman" w:cs="Times New Roman"/>
      <w:b/>
      <w:sz w:val="28"/>
      <w:szCs w:val="24"/>
    </w:rPr>
  </w:style>
  <w:style w:type="character" w:customStyle="1" w:styleId="Heading5Char">
    <w:name w:val="Heading 5 Char"/>
    <w:basedOn w:val="DefaultParagraphFont"/>
    <w:link w:val="Heading5"/>
    <w:uiPriority w:val="9"/>
    <w:rsid w:val="003B0C8B"/>
    <w:rPr>
      <w:rFonts w:ascii="Times New Roman" w:eastAsia="Times New Roman" w:hAnsi="Times New Roman" w:cs="Times New Roman"/>
      <w:b/>
      <w:i/>
      <w:sz w:val="26"/>
      <w:szCs w:val="24"/>
    </w:rPr>
  </w:style>
  <w:style w:type="character" w:customStyle="1" w:styleId="Heading6Char">
    <w:name w:val="Heading 6 Char"/>
    <w:basedOn w:val="DefaultParagraphFont"/>
    <w:link w:val="Heading6"/>
    <w:uiPriority w:val="9"/>
    <w:rsid w:val="003B0C8B"/>
    <w:rPr>
      <w:rFonts w:ascii="Times New Roman" w:eastAsia="Times New Roman" w:hAnsi="Times New Roman" w:cs="Times New Roman"/>
      <w:b/>
      <w:szCs w:val="24"/>
    </w:rPr>
  </w:style>
  <w:style w:type="character" w:customStyle="1" w:styleId="Heading7Char">
    <w:name w:val="Heading 7 Char"/>
    <w:basedOn w:val="DefaultParagraphFont"/>
    <w:link w:val="Heading7"/>
    <w:uiPriority w:val="9"/>
    <w:rsid w:val="003B0C8B"/>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
    <w:rsid w:val="003B0C8B"/>
    <w:rPr>
      <w:rFonts w:ascii="Times New Roman" w:eastAsia="Times New Roman" w:hAnsi="Times New Roman" w:cs="Times New Roman"/>
      <w:i/>
      <w:sz w:val="24"/>
      <w:szCs w:val="24"/>
    </w:rPr>
  </w:style>
  <w:style w:type="character" w:customStyle="1" w:styleId="Heading9Char">
    <w:name w:val="Heading 9 Char"/>
    <w:basedOn w:val="DefaultParagraphFont"/>
    <w:link w:val="Heading9"/>
    <w:uiPriority w:val="9"/>
    <w:rsid w:val="003B0C8B"/>
    <w:rPr>
      <w:rFonts w:ascii="Arial" w:eastAsia="Times New Roman" w:hAnsi="Arial" w:cs="Times New Roman"/>
      <w:szCs w:val="24"/>
    </w:rPr>
  </w:style>
  <w:style w:type="numbering" w:customStyle="1" w:styleId="NoList1">
    <w:name w:val="No List1"/>
    <w:next w:val="NoList"/>
    <w:uiPriority w:val="99"/>
    <w:semiHidden/>
    <w:unhideWhenUsed/>
    <w:rsid w:val="003B0C8B"/>
  </w:style>
  <w:style w:type="character" w:customStyle="1" w:styleId="Heading3Char1">
    <w:name w:val="Heading 3 Char1"/>
    <w:basedOn w:val="DefaultParagraphFont"/>
    <w:uiPriority w:val="99"/>
    <w:locked/>
    <w:rsid w:val="003B0C8B"/>
    <w:rPr>
      <w:rFonts w:ascii="Arial" w:hAnsi="Arial" w:cs="Times New Roman"/>
      <w:b/>
      <w:sz w:val="24"/>
      <w:szCs w:val="24"/>
    </w:rPr>
  </w:style>
  <w:style w:type="character" w:customStyle="1" w:styleId="standard-view-style">
    <w:name w:val="standard-view-style"/>
    <w:basedOn w:val="DefaultParagraphFont"/>
    <w:rsid w:val="003B0C8B"/>
  </w:style>
  <w:style w:type="paragraph" w:customStyle="1" w:styleId="APA">
    <w:name w:val="APA"/>
    <w:basedOn w:val="BodyText"/>
    <w:rsid w:val="00887E35"/>
    <w:pPr>
      <w:spacing w:after="0" w:line="480" w:lineRule="auto"/>
      <w:ind w:firstLine="720"/>
    </w:pPr>
    <w:rPr>
      <w:rFonts w:ascii="Calibri" w:eastAsia="Calibri" w:hAnsi="Calibri"/>
      <w:szCs w:val="22"/>
    </w:rPr>
  </w:style>
  <w:style w:type="paragraph" w:customStyle="1" w:styleId="APAHeading1">
    <w:name w:val="APA Heading 1"/>
    <w:basedOn w:val="APA"/>
    <w:next w:val="APA"/>
    <w:rsid w:val="00887E35"/>
    <w:pPr>
      <w:ind w:firstLine="0"/>
      <w:jc w:val="center"/>
      <w:outlineLvl w:val="0"/>
    </w:pPr>
    <w:rPr>
      <w:b/>
    </w:rPr>
  </w:style>
  <w:style w:type="paragraph" w:customStyle="1" w:styleId="APAHeadingCenter">
    <w:name w:val="APA Heading Center"/>
    <w:basedOn w:val="APA"/>
    <w:next w:val="APA"/>
    <w:rsid w:val="00887E35"/>
    <w:pPr>
      <w:ind w:firstLine="0"/>
      <w:jc w:val="center"/>
    </w:pPr>
  </w:style>
  <w:style w:type="character" w:styleId="FollowedHyperlink">
    <w:name w:val="FollowedHyperlink"/>
    <w:basedOn w:val="DefaultParagraphFont"/>
    <w:uiPriority w:val="99"/>
    <w:semiHidden/>
    <w:unhideWhenUsed/>
    <w:rsid w:val="00A25F94"/>
    <w:rPr>
      <w:color w:val="800080" w:themeColor="followedHyperlink"/>
      <w:u w:val="single"/>
    </w:rPr>
  </w:style>
  <w:style w:type="table" w:styleId="MediumList1">
    <w:name w:val="Medium List 1"/>
    <w:basedOn w:val="TableNormal"/>
    <w:uiPriority w:val="65"/>
    <w:rsid w:val="00F46901"/>
    <w:pPr>
      <w:spacing w:after="0" w:line="240" w:lineRule="auto"/>
      <w:ind w:firstLine="720"/>
    </w:pPr>
    <w:rPr>
      <w:rFonts w:cs="Times New Roman"/>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ghtShading">
    <w:name w:val="Light Shading"/>
    <w:basedOn w:val="TableNormal"/>
    <w:uiPriority w:val="60"/>
    <w:rsid w:val="00F46901"/>
    <w:pPr>
      <w:spacing w:after="0" w:line="240" w:lineRule="auto"/>
      <w:ind w:firstLine="720"/>
    </w:pPr>
    <w:rPr>
      <w:rFonts w:cs="Times New Roman"/>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39"/>
    <w:rsid w:val="000B6A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opy">
    <w:name w:val="Body Copy"/>
    <w:basedOn w:val="Normal"/>
    <w:rsid w:val="006146E4"/>
    <w:pPr>
      <w:widowControl w:val="0"/>
      <w:suppressAutoHyphens/>
      <w:autoSpaceDE w:val="0"/>
      <w:autoSpaceDN w:val="0"/>
      <w:adjustRightInd w:val="0"/>
      <w:spacing w:line="240" w:lineRule="atLeast"/>
      <w:textAlignment w:val="center"/>
    </w:pPr>
    <w:rPr>
      <w:rFonts w:ascii="Arial" w:hAnsi="Arial"/>
      <w:color w:val="717074"/>
      <w:sz w:val="20"/>
      <w:szCs w:val="20"/>
    </w:rPr>
  </w:style>
  <w:style w:type="numbering" w:customStyle="1" w:styleId="NoList2">
    <w:name w:val="No List2"/>
    <w:next w:val="NoList"/>
    <w:uiPriority w:val="99"/>
    <w:semiHidden/>
    <w:rsid w:val="0091034A"/>
  </w:style>
  <w:style w:type="paragraph" w:customStyle="1" w:styleId="AuthorAffiliation">
    <w:name w:val="Author/Affiliation"/>
    <w:basedOn w:val="Normal"/>
    <w:rsid w:val="0091034A"/>
    <w:pPr>
      <w:jc w:val="center"/>
    </w:pPr>
    <w:rPr>
      <w:sz w:val="20"/>
      <w:szCs w:val="20"/>
    </w:rPr>
  </w:style>
  <w:style w:type="character" w:customStyle="1" w:styleId="link1">
    <w:name w:val="link1"/>
    <w:rsid w:val="0091034A"/>
    <w:rPr>
      <w:rFonts w:ascii="Arial" w:hAnsi="Arial" w:cs="Arial" w:hint="default"/>
      <w:b/>
      <w:bCs/>
      <w:sz w:val="19"/>
      <w:szCs w:val="19"/>
    </w:rPr>
  </w:style>
  <w:style w:type="character" w:customStyle="1" w:styleId="cit-doi2">
    <w:name w:val="cit-doi2"/>
    <w:basedOn w:val="DefaultParagraphFont"/>
    <w:rsid w:val="0091034A"/>
  </w:style>
  <w:style w:type="character" w:customStyle="1" w:styleId="cit-sep2">
    <w:name w:val="cit-sep2"/>
    <w:basedOn w:val="DefaultParagraphFont"/>
    <w:rsid w:val="0091034A"/>
  </w:style>
  <w:style w:type="character" w:customStyle="1" w:styleId="medium-font">
    <w:name w:val="medium-font"/>
    <w:basedOn w:val="DefaultParagraphFont"/>
    <w:rsid w:val="0091034A"/>
  </w:style>
  <w:style w:type="table" w:customStyle="1" w:styleId="TableGrid4">
    <w:name w:val="Table Grid4"/>
    <w:basedOn w:val="TableNormal"/>
    <w:next w:val="TableGrid"/>
    <w:uiPriority w:val="59"/>
    <w:rsid w:val="0091034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Typewriter">
    <w:name w:val="HTML Typewriter"/>
    <w:uiPriority w:val="99"/>
    <w:semiHidden/>
    <w:unhideWhenUsed/>
    <w:rsid w:val="0091034A"/>
    <w:rPr>
      <w:rFonts w:ascii="Courier New" w:eastAsia="Times New Roman" w:hAnsi="Courier New" w:cs="Courier New"/>
      <w:sz w:val="20"/>
      <w:szCs w:val="20"/>
    </w:rPr>
  </w:style>
  <w:style w:type="table" w:customStyle="1" w:styleId="TableGrid5">
    <w:name w:val="Table Grid5"/>
    <w:basedOn w:val="TableNormal"/>
    <w:next w:val="TableGrid"/>
    <w:uiPriority w:val="39"/>
    <w:rsid w:val="009627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6B1DD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pple-converted-space">
    <w:name w:val="apple-converted-space"/>
    <w:basedOn w:val="DefaultParagraphFont"/>
    <w:rsid w:val="00535BF9"/>
  </w:style>
  <w:style w:type="paragraph" w:styleId="Caption">
    <w:name w:val="caption"/>
    <w:basedOn w:val="Normal"/>
    <w:next w:val="Normal"/>
    <w:uiPriority w:val="35"/>
    <w:unhideWhenUsed/>
    <w:qFormat/>
    <w:rsid w:val="003C4E9C"/>
    <w:pPr>
      <w:widowControl w:val="0"/>
      <w:spacing w:after="200"/>
    </w:pPr>
    <w:rPr>
      <w:rFonts w:ascii="Calibri" w:eastAsia="Calibri" w:hAnsi="Calibri" w:cs="Calibri"/>
      <w:i/>
      <w:iCs/>
      <w:color w:val="1F497D" w:themeColor="text2"/>
      <w:sz w:val="18"/>
      <w:szCs w:val="18"/>
    </w:rPr>
  </w:style>
  <w:style w:type="paragraph" w:customStyle="1" w:styleId="paragraph">
    <w:name w:val="paragraph"/>
    <w:basedOn w:val="Normal"/>
    <w:rsid w:val="00A635B8"/>
    <w:pPr>
      <w:spacing w:before="100" w:beforeAutospacing="1" w:after="100" w:afterAutospacing="1"/>
    </w:pPr>
    <w:rPr>
      <w:rFonts w:eastAsiaTheme="minorHAnsi"/>
    </w:rPr>
  </w:style>
  <w:style w:type="character" w:customStyle="1" w:styleId="normaltextrun">
    <w:name w:val="normaltextrun"/>
    <w:basedOn w:val="DefaultParagraphFont"/>
    <w:rsid w:val="00A635B8"/>
  </w:style>
  <w:style w:type="character" w:customStyle="1" w:styleId="eop">
    <w:name w:val="eop"/>
    <w:basedOn w:val="DefaultParagraphFont"/>
    <w:rsid w:val="00A635B8"/>
  </w:style>
  <w:style w:type="character" w:customStyle="1" w:styleId="spellingerror">
    <w:name w:val="spellingerror"/>
    <w:basedOn w:val="DefaultParagraphFont"/>
    <w:rsid w:val="00A635B8"/>
  </w:style>
  <w:style w:type="character" w:customStyle="1" w:styleId="pagebreaktextspan">
    <w:name w:val="pagebreaktextspan"/>
    <w:basedOn w:val="DefaultParagraphFont"/>
    <w:rsid w:val="00A635B8"/>
  </w:style>
  <w:style w:type="paragraph" w:customStyle="1" w:styleId="TableParagraph">
    <w:name w:val="Table Paragraph"/>
    <w:basedOn w:val="Normal"/>
    <w:uiPriority w:val="1"/>
    <w:qFormat/>
    <w:rsid w:val="00DA3AAC"/>
    <w:pPr>
      <w:widowControl w:val="0"/>
      <w:autoSpaceDE w:val="0"/>
      <w:autoSpaceDN w:val="0"/>
      <w:adjustRightInd w:val="0"/>
    </w:pPr>
    <w:rPr>
      <w:rFonts w:eastAsiaTheme="minorEastAsia"/>
    </w:rPr>
  </w:style>
  <w:style w:type="paragraph" w:styleId="Revision">
    <w:name w:val="Revision"/>
    <w:hidden/>
    <w:uiPriority w:val="99"/>
    <w:semiHidden/>
    <w:rsid w:val="00DA3AAC"/>
    <w:pPr>
      <w:spacing w:after="0" w:line="240" w:lineRule="auto"/>
    </w:pPr>
    <w:rPr>
      <w:rFonts w:ascii="Times New Roman" w:eastAsiaTheme="minorEastAsia" w:hAnsi="Times New Roman" w:cs="Times New Roman"/>
      <w:sz w:val="24"/>
      <w:szCs w:val="24"/>
    </w:rPr>
  </w:style>
  <w:style w:type="table" w:styleId="GridTable1Light-Accent1">
    <w:name w:val="Grid Table 1 Light Accent 1"/>
    <w:basedOn w:val="TableNormal"/>
    <w:uiPriority w:val="46"/>
    <w:rsid w:val="00DA4852"/>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nlmyear">
    <w:name w:val="nlm_year"/>
    <w:basedOn w:val="DefaultParagraphFont"/>
    <w:rsid w:val="001026DF"/>
  </w:style>
  <w:style w:type="character" w:customStyle="1" w:styleId="nlmarticle-title">
    <w:name w:val="nlm_article-title"/>
    <w:basedOn w:val="DefaultParagraphFont"/>
    <w:rsid w:val="001026DF"/>
  </w:style>
  <w:style w:type="character" w:customStyle="1" w:styleId="nlmfpage">
    <w:name w:val="nlm_fpage"/>
    <w:basedOn w:val="DefaultParagraphFont"/>
    <w:rsid w:val="001026DF"/>
  </w:style>
  <w:style w:type="character" w:customStyle="1" w:styleId="nlmlpage">
    <w:name w:val="nlm_lpage"/>
    <w:basedOn w:val="DefaultParagraphFont"/>
    <w:rsid w:val="001026DF"/>
  </w:style>
  <w:style w:type="character" w:customStyle="1" w:styleId="nlmpublisher-loc">
    <w:name w:val="nlm_publisher-loc"/>
    <w:basedOn w:val="DefaultParagraphFont"/>
    <w:rsid w:val="001026DF"/>
  </w:style>
  <w:style w:type="character" w:customStyle="1" w:styleId="nlmpublisher-name">
    <w:name w:val="nlm_publisher-name"/>
    <w:basedOn w:val="DefaultParagraphFont"/>
    <w:rsid w:val="001026DF"/>
  </w:style>
  <w:style w:type="character" w:customStyle="1" w:styleId="italics">
    <w:name w:val="italics"/>
    <w:basedOn w:val="DefaultParagraphFont"/>
    <w:rsid w:val="00E609F8"/>
  </w:style>
  <w:style w:type="character" w:customStyle="1" w:styleId="st">
    <w:name w:val="st"/>
    <w:basedOn w:val="DefaultParagraphFont"/>
    <w:rsid w:val="00E609F8"/>
  </w:style>
  <w:style w:type="character" w:customStyle="1" w:styleId="slug-doi">
    <w:name w:val="slug-doi"/>
    <w:basedOn w:val="DefaultParagraphFont"/>
    <w:rsid w:val="00E609F8"/>
  </w:style>
  <w:style w:type="paragraph" w:customStyle="1" w:styleId="EndNoteBibliographyTitle">
    <w:name w:val="EndNote Bibliography Title"/>
    <w:basedOn w:val="Normal"/>
    <w:link w:val="EndNoteBibliographyTitleChar"/>
    <w:rsid w:val="00E609F8"/>
    <w:pPr>
      <w:jc w:val="center"/>
    </w:pPr>
    <w:rPr>
      <w:rFonts w:eastAsiaTheme="minorHAnsi"/>
      <w:noProof/>
      <w:szCs w:val="22"/>
    </w:rPr>
  </w:style>
  <w:style w:type="character" w:customStyle="1" w:styleId="EndNoteBibliographyTitleChar">
    <w:name w:val="EndNote Bibliography Title Char"/>
    <w:basedOn w:val="DefaultParagraphFont"/>
    <w:link w:val="EndNoteBibliographyTitle"/>
    <w:rsid w:val="00E609F8"/>
    <w:rPr>
      <w:rFonts w:ascii="Times New Roman" w:hAnsi="Times New Roman" w:cs="Times New Roman"/>
      <w:noProof/>
      <w:sz w:val="24"/>
    </w:rPr>
  </w:style>
  <w:style w:type="paragraph" w:customStyle="1" w:styleId="EndNoteBibliography">
    <w:name w:val="EndNote Bibliography"/>
    <w:basedOn w:val="Normal"/>
    <w:link w:val="EndNoteBibliographyChar"/>
    <w:rsid w:val="00E609F8"/>
    <w:rPr>
      <w:rFonts w:eastAsiaTheme="minorHAnsi"/>
      <w:noProof/>
      <w:szCs w:val="22"/>
    </w:rPr>
  </w:style>
  <w:style w:type="character" w:customStyle="1" w:styleId="EndNoteBibliographyChar">
    <w:name w:val="EndNote Bibliography Char"/>
    <w:basedOn w:val="DefaultParagraphFont"/>
    <w:link w:val="EndNoteBibliography"/>
    <w:rsid w:val="00E609F8"/>
    <w:rPr>
      <w:rFonts w:ascii="Times New Roman" w:hAnsi="Times New Roman" w:cs="Times New Roman"/>
      <w:noProof/>
      <w:sz w:val="24"/>
    </w:rPr>
  </w:style>
  <w:style w:type="character" w:styleId="PlaceholderText">
    <w:name w:val="Placeholder Text"/>
    <w:basedOn w:val="DefaultParagraphFont"/>
    <w:uiPriority w:val="99"/>
    <w:semiHidden/>
    <w:rsid w:val="00E609F8"/>
    <w:rPr>
      <w:color w:val="808080"/>
    </w:rPr>
  </w:style>
  <w:style w:type="paragraph" w:styleId="TOCHeading">
    <w:name w:val="TOC Heading"/>
    <w:basedOn w:val="Heading1"/>
    <w:next w:val="Normal"/>
    <w:uiPriority w:val="39"/>
    <w:unhideWhenUsed/>
    <w:qFormat/>
    <w:rsid w:val="00E609F8"/>
    <w:pPr>
      <w:keepLines/>
      <w:spacing w:before="240" w:line="259" w:lineRule="auto"/>
      <w:jc w:val="left"/>
      <w:outlineLvl w:val="9"/>
    </w:pPr>
    <w:rPr>
      <w:rFonts w:asciiTheme="majorHAnsi" w:eastAsiaTheme="majorEastAsia" w:hAnsiTheme="majorHAnsi" w:cstheme="majorBidi"/>
      <w:i w:val="0"/>
      <w:color w:val="365F91" w:themeColor="accent1" w:themeShade="BF"/>
      <w:sz w:val="32"/>
      <w:szCs w:val="32"/>
    </w:rPr>
  </w:style>
  <w:style w:type="paragraph" w:styleId="TOC2">
    <w:name w:val="toc 2"/>
    <w:basedOn w:val="Normal"/>
    <w:next w:val="Normal"/>
    <w:autoRedefine/>
    <w:uiPriority w:val="39"/>
    <w:unhideWhenUsed/>
    <w:rsid w:val="00E609F8"/>
    <w:pPr>
      <w:spacing w:after="100" w:line="259" w:lineRule="auto"/>
      <w:ind w:left="220"/>
    </w:pPr>
    <w:rPr>
      <w:rFonts w:asciiTheme="minorHAnsi" w:eastAsiaTheme="minorEastAsia" w:hAnsiTheme="minorHAnsi"/>
      <w:sz w:val="22"/>
      <w:szCs w:val="22"/>
    </w:rPr>
  </w:style>
  <w:style w:type="paragraph" w:styleId="TOC1">
    <w:name w:val="toc 1"/>
    <w:basedOn w:val="Normal"/>
    <w:next w:val="Normal"/>
    <w:autoRedefine/>
    <w:uiPriority w:val="39"/>
    <w:unhideWhenUsed/>
    <w:rsid w:val="00E609F8"/>
    <w:pPr>
      <w:spacing w:after="100" w:line="259" w:lineRule="auto"/>
    </w:pPr>
    <w:rPr>
      <w:rFonts w:asciiTheme="minorHAnsi" w:eastAsiaTheme="minorEastAsia" w:hAnsiTheme="minorHAnsi"/>
      <w:sz w:val="22"/>
      <w:szCs w:val="22"/>
    </w:rPr>
  </w:style>
  <w:style w:type="paragraph" w:styleId="TOC3">
    <w:name w:val="toc 3"/>
    <w:basedOn w:val="Normal"/>
    <w:next w:val="Normal"/>
    <w:autoRedefine/>
    <w:uiPriority w:val="39"/>
    <w:unhideWhenUsed/>
    <w:rsid w:val="00E609F8"/>
    <w:pPr>
      <w:spacing w:after="100" w:line="259" w:lineRule="auto"/>
      <w:ind w:left="440"/>
    </w:pPr>
    <w:rPr>
      <w:rFonts w:asciiTheme="minorHAnsi" w:eastAsiaTheme="minorEastAsia" w:hAnsiTheme="minorHAnsi"/>
      <w:sz w:val="22"/>
      <w:szCs w:val="22"/>
    </w:rPr>
  </w:style>
  <w:style w:type="paragraph" w:customStyle="1" w:styleId="StyleMAIN">
    <w:name w:val="Style MAIN"/>
    <w:basedOn w:val="Normal"/>
    <w:link w:val="StyleMAINChar"/>
    <w:qFormat/>
    <w:rsid w:val="00E609F8"/>
    <w:pPr>
      <w:spacing w:after="200" w:line="276" w:lineRule="auto"/>
      <w:jc w:val="center"/>
    </w:pPr>
    <w:rPr>
      <w:rFonts w:eastAsiaTheme="minorHAnsi"/>
      <w:b/>
    </w:rPr>
  </w:style>
  <w:style w:type="character" w:customStyle="1" w:styleId="StyleMAINChar">
    <w:name w:val="Style MAIN Char"/>
    <w:basedOn w:val="DefaultParagraphFont"/>
    <w:link w:val="StyleMAIN"/>
    <w:rsid w:val="00E609F8"/>
    <w:rPr>
      <w:rFonts w:ascii="Times New Roman" w:hAnsi="Times New Roman" w:cs="Times New Roman"/>
      <w:b/>
      <w:sz w:val="24"/>
      <w:szCs w:val="24"/>
    </w:rPr>
  </w:style>
  <w:style w:type="numbering" w:customStyle="1" w:styleId="NoList11">
    <w:name w:val="No List11"/>
    <w:next w:val="NoList"/>
    <w:uiPriority w:val="99"/>
    <w:semiHidden/>
    <w:unhideWhenUsed/>
    <w:rsid w:val="00E609F8"/>
  </w:style>
  <w:style w:type="character" w:customStyle="1" w:styleId="UnresolvedMention1">
    <w:name w:val="Unresolved Mention1"/>
    <w:basedOn w:val="DefaultParagraphFont"/>
    <w:uiPriority w:val="99"/>
    <w:rsid w:val="00E609F8"/>
    <w:rPr>
      <w:color w:val="808080"/>
      <w:shd w:val="clear" w:color="auto" w:fill="E6E6E6"/>
    </w:rPr>
  </w:style>
  <w:style w:type="paragraph" w:customStyle="1" w:styleId="p1">
    <w:name w:val="p1"/>
    <w:basedOn w:val="Normal"/>
    <w:rsid w:val="0077222E"/>
    <w:rPr>
      <w:rFonts w:eastAsiaTheme="minorHAnsi"/>
      <w:sz w:val="17"/>
      <w:szCs w:val="17"/>
    </w:rPr>
  </w:style>
  <w:style w:type="paragraph" w:styleId="BodyText3">
    <w:name w:val="Body Text 3"/>
    <w:basedOn w:val="Normal"/>
    <w:link w:val="BodyText3Char"/>
    <w:uiPriority w:val="99"/>
    <w:semiHidden/>
    <w:unhideWhenUsed/>
    <w:rsid w:val="00A200E9"/>
    <w:pPr>
      <w:spacing w:after="120"/>
    </w:pPr>
    <w:rPr>
      <w:sz w:val="16"/>
      <w:szCs w:val="16"/>
    </w:rPr>
  </w:style>
  <w:style w:type="character" w:customStyle="1" w:styleId="BodyText3Char">
    <w:name w:val="Body Text 3 Char"/>
    <w:basedOn w:val="DefaultParagraphFont"/>
    <w:link w:val="BodyText3"/>
    <w:uiPriority w:val="99"/>
    <w:semiHidden/>
    <w:rsid w:val="00A200E9"/>
    <w:rPr>
      <w:rFonts w:ascii="Times New Roman" w:eastAsia="Times New Roman" w:hAnsi="Times New Roman" w:cs="Times New Roman"/>
      <w:sz w:val="16"/>
      <w:szCs w:val="16"/>
    </w:rPr>
  </w:style>
  <w:style w:type="paragraph" w:styleId="Subtitle">
    <w:name w:val="Subtitle"/>
    <w:basedOn w:val="Normal1"/>
    <w:next w:val="Normal1"/>
    <w:link w:val="SubtitleChar"/>
    <w:uiPriority w:val="11"/>
    <w:qFormat/>
    <w:rsid w:val="00667140"/>
    <w:pPr>
      <w:keepNext/>
      <w:keepLines/>
      <w:spacing w:after="320" w:line="276" w:lineRule="auto"/>
    </w:pPr>
    <w:rPr>
      <w:rFonts w:ascii="Arial" w:eastAsia="Arial" w:hAnsi="Arial" w:cs="Arial"/>
      <w:color w:val="666666"/>
      <w:sz w:val="30"/>
      <w:szCs w:val="30"/>
      <w:lang w:val="en"/>
    </w:rPr>
  </w:style>
  <w:style w:type="character" w:customStyle="1" w:styleId="SubtitleChar">
    <w:name w:val="Subtitle Char"/>
    <w:basedOn w:val="DefaultParagraphFont"/>
    <w:link w:val="Subtitle"/>
    <w:uiPriority w:val="11"/>
    <w:rsid w:val="00667140"/>
    <w:rPr>
      <w:rFonts w:ascii="Arial" w:eastAsia="Arial" w:hAnsi="Arial" w:cs="Arial"/>
      <w:color w:val="666666"/>
      <w:sz w:val="30"/>
      <w:szCs w:val="30"/>
      <w:lang w:val="en"/>
    </w:rPr>
  </w:style>
  <w:style w:type="character" w:styleId="UnresolvedMention">
    <w:name w:val="Unresolved Mention"/>
    <w:basedOn w:val="DefaultParagraphFont"/>
    <w:uiPriority w:val="99"/>
    <w:rsid w:val="0049419D"/>
    <w:rPr>
      <w:color w:val="605E5C"/>
      <w:shd w:val="clear" w:color="auto" w:fill="E1DFDD"/>
    </w:rPr>
  </w:style>
  <w:style w:type="table" w:customStyle="1" w:styleId="TableGrid6">
    <w:name w:val="Table Grid6"/>
    <w:basedOn w:val="TableNormal"/>
    <w:next w:val="TableGrid"/>
    <w:uiPriority w:val="39"/>
    <w:rsid w:val="0049419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6C226F"/>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Light11">
    <w:name w:val="Table Grid Light11"/>
    <w:basedOn w:val="TableNormal"/>
    <w:uiPriority w:val="40"/>
    <w:rsid w:val="006C226F"/>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NoList3">
    <w:name w:val="No List3"/>
    <w:next w:val="NoList"/>
    <w:uiPriority w:val="99"/>
    <w:semiHidden/>
    <w:unhideWhenUsed/>
    <w:rsid w:val="004304A2"/>
  </w:style>
  <w:style w:type="character" w:customStyle="1" w:styleId="journaltitle">
    <w:name w:val="journaltitle"/>
    <w:basedOn w:val="DefaultParagraphFont"/>
    <w:rsid w:val="004304A2"/>
  </w:style>
  <w:style w:type="character" w:customStyle="1" w:styleId="srcinfo">
    <w:name w:val="srcinfo"/>
    <w:basedOn w:val="DefaultParagraphFont"/>
    <w:rsid w:val="004304A2"/>
  </w:style>
  <w:style w:type="table" w:customStyle="1" w:styleId="TableGrid7">
    <w:name w:val="Table Grid7"/>
    <w:basedOn w:val="TableNormal"/>
    <w:next w:val="TableGrid"/>
    <w:uiPriority w:val="39"/>
    <w:rsid w:val="004304A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DefaultParagraphFont"/>
    <w:uiPriority w:val="99"/>
    <w:semiHidden/>
    <w:unhideWhenUsed/>
    <w:rsid w:val="004304A2"/>
    <w:rPr>
      <w:color w:val="2B579A"/>
      <w:shd w:val="clear" w:color="auto" w:fill="E6E6E6"/>
    </w:rPr>
  </w:style>
  <w:style w:type="character" w:customStyle="1" w:styleId="current-selection">
    <w:name w:val="current-selection"/>
    <w:basedOn w:val="DefaultParagraphFont"/>
    <w:rsid w:val="004304A2"/>
  </w:style>
  <w:style w:type="character" w:customStyle="1" w:styleId="ff2">
    <w:name w:val="ff2"/>
    <w:basedOn w:val="DefaultParagraphFont"/>
    <w:rsid w:val="004304A2"/>
  </w:style>
  <w:style w:type="character" w:customStyle="1" w:styleId="ws0">
    <w:name w:val="ws0"/>
    <w:basedOn w:val="DefaultParagraphFont"/>
    <w:rsid w:val="004304A2"/>
  </w:style>
  <w:style w:type="character" w:customStyle="1" w:styleId="mceitemhiddenspellword">
    <w:name w:val="mceitemhiddenspellword"/>
    <w:basedOn w:val="DefaultParagraphFont"/>
    <w:rsid w:val="004304A2"/>
  </w:style>
  <w:style w:type="character" w:customStyle="1" w:styleId="Mention2">
    <w:name w:val="Mention2"/>
    <w:basedOn w:val="DefaultParagraphFont"/>
    <w:uiPriority w:val="99"/>
    <w:semiHidden/>
    <w:unhideWhenUsed/>
    <w:rsid w:val="004304A2"/>
    <w:rPr>
      <w:color w:val="2B579A"/>
      <w:shd w:val="clear" w:color="auto" w:fill="E6E6E6"/>
    </w:rPr>
  </w:style>
  <w:style w:type="paragraph" w:customStyle="1" w:styleId="Quote1">
    <w:name w:val="Quote1"/>
    <w:basedOn w:val="Normal"/>
    <w:next w:val="Normal"/>
    <w:uiPriority w:val="29"/>
    <w:qFormat/>
    <w:rsid w:val="004304A2"/>
    <w:pPr>
      <w:spacing w:before="200" w:after="160" w:line="264" w:lineRule="auto"/>
      <w:ind w:left="864" w:right="864"/>
      <w:jc w:val="center"/>
    </w:pPr>
    <w:rPr>
      <w:rFonts w:ascii="Calibri Light" w:eastAsia="MS Gothic" w:hAnsi="Calibri Light"/>
      <w:i/>
      <w:iCs/>
    </w:rPr>
  </w:style>
  <w:style w:type="character" w:customStyle="1" w:styleId="QuoteChar">
    <w:name w:val="Quote Char"/>
    <w:basedOn w:val="DefaultParagraphFont"/>
    <w:link w:val="Quote"/>
    <w:uiPriority w:val="29"/>
    <w:rsid w:val="004304A2"/>
    <w:rPr>
      <w:rFonts w:ascii="Calibri Light" w:eastAsia="MS Gothic" w:hAnsi="Calibri Light" w:cs="Times New Roman"/>
      <w:i/>
      <w:iCs/>
      <w:sz w:val="24"/>
      <w:szCs w:val="24"/>
    </w:rPr>
  </w:style>
  <w:style w:type="paragraph" w:customStyle="1" w:styleId="IntenseQuote1">
    <w:name w:val="Intense Quote1"/>
    <w:basedOn w:val="Normal"/>
    <w:next w:val="Normal"/>
    <w:uiPriority w:val="30"/>
    <w:qFormat/>
    <w:rsid w:val="004304A2"/>
    <w:pPr>
      <w:spacing w:before="100" w:beforeAutospacing="1" w:after="240" w:line="252" w:lineRule="auto"/>
      <w:ind w:left="936" w:right="936"/>
      <w:jc w:val="center"/>
    </w:pPr>
    <w:rPr>
      <w:rFonts w:ascii="Calibri Light" w:eastAsia="MS Gothic" w:hAnsi="Calibri Light"/>
      <w:sz w:val="26"/>
      <w:szCs w:val="26"/>
    </w:rPr>
  </w:style>
  <w:style w:type="character" w:customStyle="1" w:styleId="IntenseQuoteChar">
    <w:name w:val="Intense Quote Char"/>
    <w:basedOn w:val="DefaultParagraphFont"/>
    <w:link w:val="IntenseQuote"/>
    <w:uiPriority w:val="30"/>
    <w:rsid w:val="004304A2"/>
    <w:rPr>
      <w:rFonts w:ascii="Calibri Light" w:eastAsia="MS Gothic" w:hAnsi="Calibri Light" w:cs="Times New Roman"/>
      <w:sz w:val="26"/>
      <w:szCs w:val="26"/>
    </w:rPr>
  </w:style>
  <w:style w:type="character" w:styleId="SubtleEmphasis">
    <w:name w:val="Subtle Emphasis"/>
    <w:basedOn w:val="DefaultParagraphFont"/>
    <w:uiPriority w:val="19"/>
    <w:qFormat/>
    <w:rsid w:val="004304A2"/>
    <w:rPr>
      <w:i/>
      <w:iCs/>
      <w:color w:val="auto"/>
    </w:rPr>
  </w:style>
  <w:style w:type="character" w:styleId="IntenseEmphasis">
    <w:name w:val="Intense Emphasis"/>
    <w:basedOn w:val="DefaultParagraphFont"/>
    <w:uiPriority w:val="21"/>
    <w:qFormat/>
    <w:rsid w:val="004304A2"/>
    <w:rPr>
      <w:b/>
      <w:bCs/>
      <w:i/>
      <w:iCs/>
      <w:color w:val="auto"/>
    </w:rPr>
  </w:style>
  <w:style w:type="character" w:customStyle="1" w:styleId="SubtleReference1">
    <w:name w:val="Subtle Reference1"/>
    <w:basedOn w:val="DefaultParagraphFont"/>
    <w:uiPriority w:val="31"/>
    <w:qFormat/>
    <w:rsid w:val="004304A2"/>
    <w:rPr>
      <w:smallCaps/>
      <w:color w:val="auto"/>
      <w:u w:val="single" w:color="7F7F7F"/>
    </w:rPr>
  </w:style>
  <w:style w:type="character" w:styleId="IntenseReference">
    <w:name w:val="Intense Reference"/>
    <w:basedOn w:val="DefaultParagraphFont"/>
    <w:uiPriority w:val="32"/>
    <w:qFormat/>
    <w:rsid w:val="004304A2"/>
    <w:rPr>
      <w:b/>
      <w:bCs/>
      <w:smallCaps/>
      <w:color w:val="auto"/>
      <w:u w:val="single"/>
    </w:rPr>
  </w:style>
  <w:style w:type="character" w:styleId="BookTitle">
    <w:name w:val="Book Title"/>
    <w:basedOn w:val="DefaultParagraphFont"/>
    <w:uiPriority w:val="33"/>
    <w:qFormat/>
    <w:rsid w:val="004304A2"/>
    <w:rPr>
      <w:b/>
      <w:bCs/>
      <w:smallCaps/>
      <w:color w:val="auto"/>
    </w:rPr>
  </w:style>
  <w:style w:type="character" w:customStyle="1" w:styleId="adr">
    <w:name w:val="adr"/>
    <w:basedOn w:val="DefaultParagraphFont"/>
    <w:rsid w:val="004304A2"/>
  </w:style>
  <w:style w:type="character" w:customStyle="1" w:styleId="street-address">
    <w:name w:val="street-address"/>
    <w:basedOn w:val="DefaultParagraphFont"/>
    <w:rsid w:val="004304A2"/>
  </w:style>
  <w:style w:type="character" w:customStyle="1" w:styleId="locality">
    <w:name w:val="locality"/>
    <w:basedOn w:val="DefaultParagraphFont"/>
    <w:rsid w:val="004304A2"/>
  </w:style>
  <w:style w:type="character" w:customStyle="1" w:styleId="region">
    <w:name w:val="region"/>
    <w:basedOn w:val="DefaultParagraphFont"/>
    <w:rsid w:val="004304A2"/>
  </w:style>
  <w:style w:type="character" w:customStyle="1" w:styleId="postal-code">
    <w:name w:val="postal-code"/>
    <w:basedOn w:val="DefaultParagraphFont"/>
    <w:rsid w:val="004304A2"/>
  </w:style>
  <w:style w:type="character" w:customStyle="1" w:styleId="Mention3">
    <w:name w:val="Mention3"/>
    <w:basedOn w:val="DefaultParagraphFont"/>
    <w:uiPriority w:val="99"/>
    <w:semiHidden/>
    <w:unhideWhenUsed/>
    <w:rsid w:val="004304A2"/>
    <w:rPr>
      <w:color w:val="2B579A"/>
      <w:shd w:val="clear" w:color="auto" w:fill="E6E6E6"/>
    </w:rPr>
  </w:style>
  <w:style w:type="paragraph" w:styleId="Quote">
    <w:name w:val="Quote"/>
    <w:basedOn w:val="Normal"/>
    <w:next w:val="Normal"/>
    <w:link w:val="QuoteChar"/>
    <w:uiPriority w:val="29"/>
    <w:qFormat/>
    <w:rsid w:val="004304A2"/>
    <w:pPr>
      <w:spacing w:before="200" w:after="160"/>
      <w:ind w:left="864" w:right="864"/>
      <w:jc w:val="center"/>
    </w:pPr>
    <w:rPr>
      <w:rFonts w:ascii="Calibri Light" w:eastAsia="MS Gothic" w:hAnsi="Calibri Light"/>
      <w:i/>
      <w:iCs/>
    </w:rPr>
  </w:style>
  <w:style w:type="character" w:customStyle="1" w:styleId="QuoteChar1">
    <w:name w:val="Quote Char1"/>
    <w:basedOn w:val="DefaultParagraphFont"/>
    <w:uiPriority w:val="29"/>
    <w:rsid w:val="004304A2"/>
    <w:rPr>
      <w:rFonts w:ascii="Times New Roman" w:eastAsia="Times New Roman" w:hAnsi="Times New Roman" w:cs="Times New Roman"/>
      <w:i/>
      <w:iCs/>
      <w:color w:val="404040" w:themeColor="text1" w:themeTint="BF"/>
      <w:sz w:val="24"/>
      <w:szCs w:val="24"/>
    </w:rPr>
  </w:style>
  <w:style w:type="paragraph" w:styleId="IntenseQuote">
    <w:name w:val="Intense Quote"/>
    <w:basedOn w:val="Normal"/>
    <w:next w:val="Normal"/>
    <w:link w:val="IntenseQuoteChar"/>
    <w:uiPriority w:val="30"/>
    <w:qFormat/>
    <w:rsid w:val="004304A2"/>
    <w:pPr>
      <w:pBdr>
        <w:top w:val="single" w:sz="4" w:space="10" w:color="4F81BD" w:themeColor="accent1"/>
        <w:bottom w:val="single" w:sz="4" w:space="10" w:color="4F81BD" w:themeColor="accent1"/>
      </w:pBdr>
      <w:spacing w:before="360" w:after="360"/>
      <w:ind w:left="864" w:right="864"/>
      <w:jc w:val="center"/>
    </w:pPr>
    <w:rPr>
      <w:rFonts w:ascii="Calibri Light" w:eastAsia="MS Gothic" w:hAnsi="Calibri Light"/>
      <w:sz w:val="26"/>
      <w:szCs w:val="26"/>
    </w:rPr>
  </w:style>
  <w:style w:type="character" w:customStyle="1" w:styleId="IntenseQuoteChar1">
    <w:name w:val="Intense Quote Char1"/>
    <w:basedOn w:val="DefaultParagraphFont"/>
    <w:uiPriority w:val="30"/>
    <w:rsid w:val="004304A2"/>
    <w:rPr>
      <w:rFonts w:ascii="Times New Roman" w:eastAsia="Times New Roman" w:hAnsi="Times New Roman" w:cs="Times New Roman"/>
      <w:i/>
      <w:iCs/>
      <w:color w:val="4F81BD" w:themeColor="accent1"/>
      <w:sz w:val="24"/>
      <w:szCs w:val="24"/>
    </w:rPr>
  </w:style>
  <w:style w:type="character" w:styleId="SubtleReference">
    <w:name w:val="Subtle Reference"/>
    <w:basedOn w:val="DefaultParagraphFont"/>
    <w:uiPriority w:val="31"/>
    <w:qFormat/>
    <w:rsid w:val="004304A2"/>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43269">
      <w:bodyDiv w:val="1"/>
      <w:marLeft w:val="0"/>
      <w:marRight w:val="0"/>
      <w:marTop w:val="0"/>
      <w:marBottom w:val="0"/>
      <w:divBdr>
        <w:top w:val="none" w:sz="0" w:space="0" w:color="auto"/>
        <w:left w:val="none" w:sz="0" w:space="0" w:color="auto"/>
        <w:bottom w:val="none" w:sz="0" w:space="0" w:color="auto"/>
        <w:right w:val="none" w:sz="0" w:space="0" w:color="auto"/>
      </w:divBdr>
    </w:div>
    <w:div w:id="79645515">
      <w:bodyDiv w:val="1"/>
      <w:marLeft w:val="0"/>
      <w:marRight w:val="0"/>
      <w:marTop w:val="0"/>
      <w:marBottom w:val="0"/>
      <w:divBdr>
        <w:top w:val="none" w:sz="0" w:space="0" w:color="auto"/>
        <w:left w:val="none" w:sz="0" w:space="0" w:color="auto"/>
        <w:bottom w:val="none" w:sz="0" w:space="0" w:color="auto"/>
        <w:right w:val="none" w:sz="0" w:space="0" w:color="auto"/>
      </w:divBdr>
    </w:div>
    <w:div w:id="156310865">
      <w:bodyDiv w:val="1"/>
      <w:marLeft w:val="0"/>
      <w:marRight w:val="0"/>
      <w:marTop w:val="0"/>
      <w:marBottom w:val="0"/>
      <w:divBdr>
        <w:top w:val="none" w:sz="0" w:space="0" w:color="auto"/>
        <w:left w:val="none" w:sz="0" w:space="0" w:color="auto"/>
        <w:bottom w:val="none" w:sz="0" w:space="0" w:color="auto"/>
        <w:right w:val="none" w:sz="0" w:space="0" w:color="auto"/>
      </w:divBdr>
      <w:divsChild>
        <w:div w:id="82799877">
          <w:marLeft w:val="0"/>
          <w:marRight w:val="0"/>
          <w:marTop w:val="0"/>
          <w:marBottom w:val="0"/>
          <w:divBdr>
            <w:top w:val="none" w:sz="0" w:space="0" w:color="auto"/>
            <w:left w:val="none" w:sz="0" w:space="0" w:color="auto"/>
            <w:bottom w:val="none" w:sz="0" w:space="0" w:color="auto"/>
            <w:right w:val="none" w:sz="0" w:space="0" w:color="auto"/>
          </w:divBdr>
          <w:divsChild>
            <w:div w:id="1261403372">
              <w:marLeft w:val="0"/>
              <w:marRight w:val="0"/>
              <w:marTop w:val="0"/>
              <w:marBottom w:val="0"/>
              <w:divBdr>
                <w:top w:val="none" w:sz="0" w:space="0" w:color="auto"/>
                <w:left w:val="none" w:sz="0" w:space="0" w:color="auto"/>
                <w:bottom w:val="none" w:sz="0" w:space="0" w:color="auto"/>
                <w:right w:val="none" w:sz="0" w:space="0" w:color="auto"/>
              </w:divBdr>
              <w:divsChild>
                <w:div w:id="125870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49828">
      <w:bodyDiv w:val="1"/>
      <w:marLeft w:val="0"/>
      <w:marRight w:val="0"/>
      <w:marTop w:val="0"/>
      <w:marBottom w:val="0"/>
      <w:divBdr>
        <w:top w:val="none" w:sz="0" w:space="0" w:color="auto"/>
        <w:left w:val="none" w:sz="0" w:space="0" w:color="auto"/>
        <w:bottom w:val="none" w:sz="0" w:space="0" w:color="auto"/>
        <w:right w:val="none" w:sz="0" w:space="0" w:color="auto"/>
      </w:divBdr>
    </w:div>
    <w:div w:id="201132680">
      <w:bodyDiv w:val="1"/>
      <w:marLeft w:val="0"/>
      <w:marRight w:val="0"/>
      <w:marTop w:val="0"/>
      <w:marBottom w:val="0"/>
      <w:divBdr>
        <w:top w:val="none" w:sz="0" w:space="0" w:color="auto"/>
        <w:left w:val="none" w:sz="0" w:space="0" w:color="auto"/>
        <w:bottom w:val="none" w:sz="0" w:space="0" w:color="auto"/>
        <w:right w:val="none" w:sz="0" w:space="0" w:color="auto"/>
      </w:divBdr>
    </w:div>
    <w:div w:id="270210096">
      <w:bodyDiv w:val="1"/>
      <w:marLeft w:val="0"/>
      <w:marRight w:val="0"/>
      <w:marTop w:val="0"/>
      <w:marBottom w:val="0"/>
      <w:divBdr>
        <w:top w:val="none" w:sz="0" w:space="0" w:color="auto"/>
        <w:left w:val="none" w:sz="0" w:space="0" w:color="auto"/>
        <w:bottom w:val="none" w:sz="0" w:space="0" w:color="auto"/>
        <w:right w:val="none" w:sz="0" w:space="0" w:color="auto"/>
      </w:divBdr>
    </w:div>
    <w:div w:id="363213837">
      <w:bodyDiv w:val="1"/>
      <w:marLeft w:val="0"/>
      <w:marRight w:val="0"/>
      <w:marTop w:val="0"/>
      <w:marBottom w:val="0"/>
      <w:divBdr>
        <w:top w:val="none" w:sz="0" w:space="0" w:color="auto"/>
        <w:left w:val="none" w:sz="0" w:space="0" w:color="auto"/>
        <w:bottom w:val="none" w:sz="0" w:space="0" w:color="auto"/>
        <w:right w:val="none" w:sz="0" w:space="0" w:color="auto"/>
      </w:divBdr>
    </w:div>
    <w:div w:id="371925234">
      <w:bodyDiv w:val="1"/>
      <w:marLeft w:val="0"/>
      <w:marRight w:val="0"/>
      <w:marTop w:val="0"/>
      <w:marBottom w:val="0"/>
      <w:divBdr>
        <w:top w:val="none" w:sz="0" w:space="0" w:color="auto"/>
        <w:left w:val="none" w:sz="0" w:space="0" w:color="auto"/>
        <w:bottom w:val="none" w:sz="0" w:space="0" w:color="auto"/>
        <w:right w:val="none" w:sz="0" w:space="0" w:color="auto"/>
      </w:divBdr>
    </w:div>
    <w:div w:id="408425625">
      <w:bodyDiv w:val="1"/>
      <w:marLeft w:val="0"/>
      <w:marRight w:val="0"/>
      <w:marTop w:val="0"/>
      <w:marBottom w:val="0"/>
      <w:divBdr>
        <w:top w:val="none" w:sz="0" w:space="0" w:color="auto"/>
        <w:left w:val="none" w:sz="0" w:space="0" w:color="auto"/>
        <w:bottom w:val="none" w:sz="0" w:space="0" w:color="auto"/>
        <w:right w:val="none" w:sz="0" w:space="0" w:color="auto"/>
      </w:divBdr>
    </w:div>
    <w:div w:id="472527893">
      <w:bodyDiv w:val="1"/>
      <w:marLeft w:val="0"/>
      <w:marRight w:val="0"/>
      <w:marTop w:val="0"/>
      <w:marBottom w:val="0"/>
      <w:divBdr>
        <w:top w:val="none" w:sz="0" w:space="0" w:color="auto"/>
        <w:left w:val="none" w:sz="0" w:space="0" w:color="auto"/>
        <w:bottom w:val="none" w:sz="0" w:space="0" w:color="auto"/>
        <w:right w:val="none" w:sz="0" w:space="0" w:color="auto"/>
      </w:divBdr>
    </w:div>
    <w:div w:id="519314514">
      <w:bodyDiv w:val="1"/>
      <w:marLeft w:val="0"/>
      <w:marRight w:val="0"/>
      <w:marTop w:val="0"/>
      <w:marBottom w:val="0"/>
      <w:divBdr>
        <w:top w:val="none" w:sz="0" w:space="0" w:color="auto"/>
        <w:left w:val="none" w:sz="0" w:space="0" w:color="auto"/>
        <w:bottom w:val="none" w:sz="0" w:space="0" w:color="auto"/>
        <w:right w:val="none" w:sz="0" w:space="0" w:color="auto"/>
      </w:divBdr>
    </w:div>
    <w:div w:id="526141042">
      <w:bodyDiv w:val="1"/>
      <w:marLeft w:val="0"/>
      <w:marRight w:val="0"/>
      <w:marTop w:val="0"/>
      <w:marBottom w:val="0"/>
      <w:divBdr>
        <w:top w:val="none" w:sz="0" w:space="0" w:color="auto"/>
        <w:left w:val="none" w:sz="0" w:space="0" w:color="auto"/>
        <w:bottom w:val="none" w:sz="0" w:space="0" w:color="auto"/>
        <w:right w:val="none" w:sz="0" w:space="0" w:color="auto"/>
      </w:divBdr>
    </w:div>
    <w:div w:id="527524138">
      <w:bodyDiv w:val="1"/>
      <w:marLeft w:val="0"/>
      <w:marRight w:val="0"/>
      <w:marTop w:val="0"/>
      <w:marBottom w:val="0"/>
      <w:divBdr>
        <w:top w:val="none" w:sz="0" w:space="0" w:color="auto"/>
        <w:left w:val="none" w:sz="0" w:space="0" w:color="auto"/>
        <w:bottom w:val="none" w:sz="0" w:space="0" w:color="auto"/>
        <w:right w:val="none" w:sz="0" w:space="0" w:color="auto"/>
      </w:divBdr>
    </w:div>
    <w:div w:id="535852762">
      <w:bodyDiv w:val="1"/>
      <w:marLeft w:val="0"/>
      <w:marRight w:val="0"/>
      <w:marTop w:val="0"/>
      <w:marBottom w:val="0"/>
      <w:divBdr>
        <w:top w:val="none" w:sz="0" w:space="0" w:color="auto"/>
        <w:left w:val="none" w:sz="0" w:space="0" w:color="auto"/>
        <w:bottom w:val="none" w:sz="0" w:space="0" w:color="auto"/>
        <w:right w:val="none" w:sz="0" w:space="0" w:color="auto"/>
      </w:divBdr>
    </w:div>
    <w:div w:id="748186583">
      <w:bodyDiv w:val="1"/>
      <w:marLeft w:val="0"/>
      <w:marRight w:val="0"/>
      <w:marTop w:val="0"/>
      <w:marBottom w:val="0"/>
      <w:divBdr>
        <w:top w:val="none" w:sz="0" w:space="0" w:color="auto"/>
        <w:left w:val="none" w:sz="0" w:space="0" w:color="auto"/>
        <w:bottom w:val="none" w:sz="0" w:space="0" w:color="auto"/>
        <w:right w:val="none" w:sz="0" w:space="0" w:color="auto"/>
      </w:divBdr>
    </w:div>
    <w:div w:id="765543401">
      <w:bodyDiv w:val="1"/>
      <w:marLeft w:val="0"/>
      <w:marRight w:val="0"/>
      <w:marTop w:val="0"/>
      <w:marBottom w:val="0"/>
      <w:divBdr>
        <w:top w:val="none" w:sz="0" w:space="0" w:color="auto"/>
        <w:left w:val="none" w:sz="0" w:space="0" w:color="auto"/>
        <w:bottom w:val="none" w:sz="0" w:space="0" w:color="auto"/>
        <w:right w:val="none" w:sz="0" w:space="0" w:color="auto"/>
      </w:divBdr>
    </w:div>
    <w:div w:id="767307305">
      <w:bodyDiv w:val="1"/>
      <w:marLeft w:val="0"/>
      <w:marRight w:val="0"/>
      <w:marTop w:val="0"/>
      <w:marBottom w:val="0"/>
      <w:divBdr>
        <w:top w:val="none" w:sz="0" w:space="0" w:color="auto"/>
        <w:left w:val="none" w:sz="0" w:space="0" w:color="auto"/>
        <w:bottom w:val="none" w:sz="0" w:space="0" w:color="auto"/>
        <w:right w:val="none" w:sz="0" w:space="0" w:color="auto"/>
      </w:divBdr>
    </w:div>
    <w:div w:id="787553524">
      <w:bodyDiv w:val="1"/>
      <w:marLeft w:val="0"/>
      <w:marRight w:val="0"/>
      <w:marTop w:val="0"/>
      <w:marBottom w:val="0"/>
      <w:divBdr>
        <w:top w:val="none" w:sz="0" w:space="0" w:color="auto"/>
        <w:left w:val="none" w:sz="0" w:space="0" w:color="auto"/>
        <w:bottom w:val="none" w:sz="0" w:space="0" w:color="auto"/>
        <w:right w:val="none" w:sz="0" w:space="0" w:color="auto"/>
      </w:divBdr>
    </w:div>
    <w:div w:id="801269497">
      <w:bodyDiv w:val="1"/>
      <w:marLeft w:val="0"/>
      <w:marRight w:val="0"/>
      <w:marTop w:val="0"/>
      <w:marBottom w:val="0"/>
      <w:divBdr>
        <w:top w:val="none" w:sz="0" w:space="0" w:color="auto"/>
        <w:left w:val="none" w:sz="0" w:space="0" w:color="auto"/>
        <w:bottom w:val="none" w:sz="0" w:space="0" w:color="auto"/>
        <w:right w:val="none" w:sz="0" w:space="0" w:color="auto"/>
      </w:divBdr>
    </w:div>
    <w:div w:id="833376847">
      <w:bodyDiv w:val="1"/>
      <w:marLeft w:val="0"/>
      <w:marRight w:val="0"/>
      <w:marTop w:val="0"/>
      <w:marBottom w:val="0"/>
      <w:divBdr>
        <w:top w:val="none" w:sz="0" w:space="0" w:color="auto"/>
        <w:left w:val="none" w:sz="0" w:space="0" w:color="auto"/>
        <w:bottom w:val="none" w:sz="0" w:space="0" w:color="auto"/>
        <w:right w:val="none" w:sz="0" w:space="0" w:color="auto"/>
      </w:divBdr>
    </w:div>
    <w:div w:id="880436212">
      <w:bodyDiv w:val="1"/>
      <w:marLeft w:val="0"/>
      <w:marRight w:val="0"/>
      <w:marTop w:val="0"/>
      <w:marBottom w:val="0"/>
      <w:divBdr>
        <w:top w:val="none" w:sz="0" w:space="0" w:color="auto"/>
        <w:left w:val="none" w:sz="0" w:space="0" w:color="auto"/>
        <w:bottom w:val="none" w:sz="0" w:space="0" w:color="auto"/>
        <w:right w:val="none" w:sz="0" w:space="0" w:color="auto"/>
      </w:divBdr>
    </w:div>
    <w:div w:id="1011958012">
      <w:bodyDiv w:val="1"/>
      <w:marLeft w:val="0"/>
      <w:marRight w:val="0"/>
      <w:marTop w:val="0"/>
      <w:marBottom w:val="0"/>
      <w:divBdr>
        <w:top w:val="none" w:sz="0" w:space="0" w:color="auto"/>
        <w:left w:val="none" w:sz="0" w:space="0" w:color="auto"/>
        <w:bottom w:val="none" w:sz="0" w:space="0" w:color="auto"/>
        <w:right w:val="none" w:sz="0" w:space="0" w:color="auto"/>
      </w:divBdr>
    </w:div>
    <w:div w:id="1079475488">
      <w:bodyDiv w:val="1"/>
      <w:marLeft w:val="0"/>
      <w:marRight w:val="0"/>
      <w:marTop w:val="0"/>
      <w:marBottom w:val="0"/>
      <w:divBdr>
        <w:top w:val="none" w:sz="0" w:space="0" w:color="auto"/>
        <w:left w:val="none" w:sz="0" w:space="0" w:color="auto"/>
        <w:bottom w:val="none" w:sz="0" w:space="0" w:color="auto"/>
        <w:right w:val="none" w:sz="0" w:space="0" w:color="auto"/>
      </w:divBdr>
    </w:div>
    <w:div w:id="1118453956">
      <w:bodyDiv w:val="1"/>
      <w:marLeft w:val="0"/>
      <w:marRight w:val="0"/>
      <w:marTop w:val="0"/>
      <w:marBottom w:val="0"/>
      <w:divBdr>
        <w:top w:val="none" w:sz="0" w:space="0" w:color="auto"/>
        <w:left w:val="none" w:sz="0" w:space="0" w:color="auto"/>
        <w:bottom w:val="none" w:sz="0" w:space="0" w:color="auto"/>
        <w:right w:val="none" w:sz="0" w:space="0" w:color="auto"/>
      </w:divBdr>
    </w:div>
    <w:div w:id="1118646327">
      <w:bodyDiv w:val="1"/>
      <w:marLeft w:val="0"/>
      <w:marRight w:val="0"/>
      <w:marTop w:val="0"/>
      <w:marBottom w:val="0"/>
      <w:divBdr>
        <w:top w:val="none" w:sz="0" w:space="0" w:color="auto"/>
        <w:left w:val="none" w:sz="0" w:space="0" w:color="auto"/>
        <w:bottom w:val="none" w:sz="0" w:space="0" w:color="auto"/>
        <w:right w:val="none" w:sz="0" w:space="0" w:color="auto"/>
      </w:divBdr>
    </w:div>
    <w:div w:id="1169247107">
      <w:bodyDiv w:val="1"/>
      <w:marLeft w:val="0"/>
      <w:marRight w:val="0"/>
      <w:marTop w:val="0"/>
      <w:marBottom w:val="0"/>
      <w:divBdr>
        <w:top w:val="none" w:sz="0" w:space="0" w:color="auto"/>
        <w:left w:val="none" w:sz="0" w:space="0" w:color="auto"/>
        <w:bottom w:val="none" w:sz="0" w:space="0" w:color="auto"/>
        <w:right w:val="none" w:sz="0" w:space="0" w:color="auto"/>
      </w:divBdr>
    </w:div>
    <w:div w:id="1231845586">
      <w:bodyDiv w:val="1"/>
      <w:marLeft w:val="0"/>
      <w:marRight w:val="0"/>
      <w:marTop w:val="0"/>
      <w:marBottom w:val="0"/>
      <w:divBdr>
        <w:top w:val="none" w:sz="0" w:space="0" w:color="auto"/>
        <w:left w:val="none" w:sz="0" w:space="0" w:color="auto"/>
        <w:bottom w:val="none" w:sz="0" w:space="0" w:color="auto"/>
        <w:right w:val="none" w:sz="0" w:space="0" w:color="auto"/>
      </w:divBdr>
    </w:div>
    <w:div w:id="1238635303">
      <w:bodyDiv w:val="1"/>
      <w:marLeft w:val="0"/>
      <w:marRight w:val="0"/>
      <w:marTop w:val="0"/>
      <w:marBottom w:val="0"/>
      <w:divBdr>
        <w:top w:val="none" w:sz="0" w:space="0" w:color="auto"/>
        <w:left w:val="none" w:sz="0" w:space="0" w:color="auto"/>
        <w:bottom w:val="none" w:sz="0" w:space="0" w:color="auto"/>
        <w:right w:val="none" w:sz="0" w:space="0" w:color="auto"/>
      </w:divBdr>
    </w:div>
    <w:div w:id="1239948435">
      <w:bodyDiv w:val="1"/>
      <w:marLeft w:val="0"/>
      <w:marRight w:val="0"/>
      <w:marTop w:val="0"/>
      <w:marBottom w:val="0"/>
      <w:divBdr>
        <w:top w:val="none" w:sz="0" w:space="0" w:color="auto"/>
        <w:left w:val="none" w:sz="0" w:space="0" w:color="auto"/>
        <w:bottom w:val="none" w:sz="0" w:space="0" w:color="auto"/>
        <w:right w:val="none" w:sz="0" w:space="0" w:color="auto"/>
      </w:divBdr>
    </w:div>
    <w:div w:id="1423573711">
      <w:bodyDiv w:val="1"/>
      <w:marLeft w:val="0"/>
      <w:marRight w:val="0"/>
      <w:marTop w:val="0"/>
      <w:marBottom w:val="0"/>
      <w:divBdr>
        <w:top w:val="none" w:sz="0" w:space="0" w:color="auto"/>
        <w:left w:val="none" w:sz="0" w:space="0" w:color="auto"/>
        <w:bottom w:val="none" w:sz="0" w:space="0" w:color="auto"/>
        <w:right w:val="none" w:sz="0" w:space="0" w:color="auto"/>
      </w:divBdr>
    </w:div>
    <w:div w:id="1474517522">
      <w:bodyDiv w:val="1"/>
      <w:marLeft w:val="0"/>
      <w:marRight w:val="0"/>
      <w:marTop w:val="0"/>
      <w:marBottom w:val="0"/>
      <w:divBdr>
        <w:top w:val="none" w:sz="0" w:space="0" w:color="auto"/>
        <w:left w:val="none" w:sz="0" w:space="0" w:color="auto"/>
        <w:bottom w:val="none" w:sz="0" w:space="0" w:color="auto"/>
        <w:right w:val="none" w:sz="0" w:space="0" w:color="auto"/>
      </w:divBdr>
    </w:div>
    <w:div w:id="1481992886">
      <w:bodyDiv w:val="1"/>
      <w:marLeft w:val="0"/>
      <w:marRight w:val="0"/>
      <w:marTop w:val="0"/>
      <w:marBottom w:val="0"/>
      <w:divBdr>
        <w:top w:val="none" w:sz="0" w:space="0" w:color="auto"/>
        <w:left w:val="none" w:sz="0" w:space="0" w:color="auto"/>
        <w:bottom w:val="none" w:sz="0" w:space="0" w:color="auto"/>
        <w:right w:val="none" w:sz="0" w:space="0" w:color="auto"/>
      </w:divBdr>
    </w:div>
    <w:div w:id="1507749059">
      <w:bodyDiv w:val="1"/>
      <w:marLeft w:val="0"/>
      <w:marRight w:val="0"/>
      <w:marTop w:val="0"/>
      <w:marBottom w:val="0"/>
      <w:divBdr>
        <w:top w:val="none" w:sz="0" w:space="0" w:color="auto"/>
        <w:left w:val="none" w:sz="0" w:space="0" w:color="auto"/>
        <w:bottom w:val="none" w:sz="0" w:space="0" w:color="auto"/>
        <w:right w:val="none" w:sz="0" w:space="0" w:color="auto"/>
      </w:divBdr>
    </w:div>
    <w:div w:id="1521432300">
      <w:bodyDiv w:val="1"/>
      <w:marLeft w:val="0"/>
      <w:marRight w:val="0"/>
      <w:marTop w:val="0"/>
      <w:marBottom w:val="0"/>
      <w:divBdr>
        <w:top w:val="none" w:sz="0" w:space="0" w:color="auto"/>
        <w:left w:val="none" w:sz="0" w:space="0" w:color="auto"/>
        <w:bottom w:val="none" w:sz="0" w:space="0" w:color="auto"/>
        <w:right w:val="none" w:sz="0" w:space="0" w:color="auto"/>
      </w:divBdr>
    </w:div>
    <w:div w:id="1523785687">
      <w:bodyDiv w:val="1"/>
      <w:marLeft w:val="0"/>
      <w:marRight w:val="0"/>
      <w:marTop w:val="0"/>
      <w:marBottom w:val="0"/>
      <w:divBdr>
        <w:top w:val="none" w:sz="0" w:space="0" w:color="auto"/>
        <w:left w:val="none" w:sz="0" w:space="0" w:color="auto"/>
        <w:bottom w:val="none" w:sz="0" w:space="0" w:color="auto"/>
        <w:right w:val="none" w:sz="0" w:space="0" w:color="auto"/>
      </w:divBdr>
    </w:div>
    <w:div w:id="1625427446">
      <w:bodyDiv w:val="1"/>
      <w:marLeft w:val="0"/>
      <w:marRight w:val="0"/>
      <w:marTop w:val="0"/>
      <w:marBottom w:val="0"/>
      <w:divBdr>
        <w:top w:val="none" w:sz="0" w:space="0" w:color="auto"/>
        <w:left w:val="none" w:sz="0" w:space="0" w:color="auto"/>
        <w:bottom w:val="none" w:sz="0" w:space="0" w:color="auto"/>
        <w:right w:val="none" w:sz="0" w:space="0" w:color="auto"/>
      </w:divBdr>
    </w:div>
    <w:div w:id="1667898848">
      <w:bodyDiv w:val="1"/>
      <w:marLeft w:val="0"/>
      <w:marRight w:val="0"/>
      <w:marTop w:val="0"/>
      <w:marBottom w:val="0"/>
      <w:divBdr>
        <w:top w:val="none" w:sz="0" w:space="0" w:color="auto"/>
        <w:left w:val="none" w:sz="0" w:space="0" w:color="auto"/>
        <w:bottom w:val="none" w:sz="0" w:space="0" w:color="auto"/>
        <w:right w:val="none" w:sz="0" w:space="0" w:color="auto"/>
      </w:divBdr>
    </w:div>
    <w:div w:id="1670526164">
      <w:bodyDiv w:val="1"/>
      <w:marLeft w:val="0"/>
      <w:marRight w:val="0"/>
      <w:marTop w:val="0"/>
      <w:marBottom w:val="0"/>
      <w:divBdr>
        <w:top w:val="none" w:sz="0" w:space="0" w:color="auto"/>
        <w:left w:val="none" w:sz="0" w:space="0" w:color="auto"/>
        <w:bottom w:val="none" w:sz="0" w:space="0" w:color="auto"/>
        <w:right w:val="none" w:sz="0" w:space="0" w:color="auto"/>
      </w:divBdr>
    </w:div>
    <w:div w:id="1682275368">
      <w:bodyDiv w:val="1"/>
      <w:marLeft w:val="0"/>
      <w:marRight w:val="0"/>
      <w:marTop w:val="0"/>
      <w:marBottom w:val="0"/>
      <w:divBdr>
        <w:top w:val="none" w:sz="0" w:space="0" w:color="auto"/>
        <w:left w:val="none" w:sz="0" w:space="0" w:color="auto"/>
        <w:bottom w:val="none" w:sz="0" w:space="0" w:color="auto"/>
        <w:right w:val="none" w:sz="0" w:space="0" w:color="auto"/>
      </w:divBdr>
    </w:div>
    <w:div w:id="1698458381">
      <w:bodyDiv w:val="1"/>
      <w:marLeft w:val="0"/>
      <w:marRight w:val="0"/>
      <w:marTop w:val="0"/>
      <w:marBottom w:val="0"/>
      <w:divBdr>
        <w:top w:val="none" w:sz="0" w:space="0" w:color="auto"/>
        <w:left w:val="none" w:sz="0" w:space="0" w:color="auto"/>
        <w:bottom w:val="none" w:sz="0" w:space="0" w:color="auto"/>
        <w:right w:val="none" w:sz="0" w:space="0" w:color="auto"/>
      </w:divBdr>
    </w:div>
    <w:div w:id="1731230116">
      <w:bodyDiv w:val="1"/>
      <w:marLeft w:val="0"/>
      <w:marRight w:val="0"/>
      <w:marTop w:val="0"/>
      <w:marBottom w:val="0"/>
      <w:divBdr>
        <w:top w:val="none" w:sz="0" w:space="0" w:color="auto"/>
        <w:left w:val="none" w:sz="0" w:space="0" w:color="auto"/>
        <w:bottom w:val="none" w:sz="0" w:space="0" w:color="auto"/>
        <w:right w:val="none" w:sz="0" w:space="0" w:color="auto"/>
      </w:divBdr>
    </w:div>
    <w:div w:id="1731924649">
      <w:bodyDiv w:val="1"/>
      <w:marLeft w:val="0"/>
      <w:marRight w:val="0"/>
      <w:marTop w:val="0"/>
      <w:marBottom w:val="0"/>
      <w:divBdr>
        <w:top w:val="none" w:sz="0" w:space="0" w:color="auto"/>
        <w:left w:val="none" w:sz="0" w:space="0" w:color="auto"/>
        <w:bottom w:val="none" w:sz="0" w:space="0" w:color="auto"/>
        <w:right w:val="none" w:sz="0" w:space="0" w:color="auto"/>
      </w:divBdr>
    </w:div>
    <w:div w:id="1776707709">
      <w:bodyDiv w:val="1"/>
      <w:marLeft w:val="0"/>
      <w:marRight w:val="0"/>
      <w:marTop w:val="0"/>
      <w:marBottom w:val="0"/>
      <w:divBdr>
        <w:top w:val="none" w:sz="0" w:space="0" w:color="auto"/>
        <w:left w:val="none" w:sz="0" w:space="0" w:color="auto"/>
        <w:bottom w:val="none" w:sz="0" w:space="0" w:color="auto"/>
        <w:right w:val="none" w:sz="0" w:space="0" w:color="auto"/>
      </w:divBdr>
    </w:div>
    <w:div w:id="1782341714">
      <w:bodyDiv w:val="1"/>
      <w:marLeft w:val="0"/>
      <w:marRight w:val="0"/>
      <w:marTop w:val="0"/>
      <w:marBottom w:val="0"/>
      <w:divBdr>
        <w:top w:val="none" w:sz="0" w:space="0" w:color="auto"/>
        <w:left w:val="none" w:sz="0" w:space="0" w:color="auto"/>
        <w:bottom w:val="none" w:sz="0" w:space="0" w:color="auto"/>
        <w:right w:val="none" w:sz="0" w:space="0" w:color="auto"/>
      </w:divBdr>
    </w:div>
    <w:div w:id="1844709790">
      <w:bodyDiv w:val="1"/>
      <w:marLeft w:val="0"/>
      <w:marRight w:val="0"/>
      <w:marTop w:val="0"/>
      <w:marBottom w:val="0"/>
      <w:divBdr>
        <w:top w:val="none" w:sz="0" w:space="0" w:color="auto"/>
        <w:left w:val="none" w:sz="0" w:space="0" w:color="auto"/>
        <w:bottom w:val="none" w:sz="0" w:space="0" w:color="auto"/>
        <w:right w:val="none" w:sz="0" w:space="0" w:color="auto"/>
      </w:divBdr>
    </w:div>
    <w:div w:id="1884370193">
      <w:bodyDiv w:val="1"/>
      <w:marLeft w:val="0"/>
      <w:marRight w:val="0"/>
      <w:marTop w:val="0"/>
      <w:marBottom w:val="0"/>
      <w:divBdr>
        <w:top w:val="none" w:sz="0" w:space="0" w:color="auto"/>
        <w:left w:val="none" w:sz="0" w:space="0" w:color="auto"/>
        <w:bottom w:val="none" w:sz="0" w:space="0" w:color="auto"/>
        <w:right w:val="none" w:sz="0" w:space="0" w:color="auto"/>
      </w:divBdr>
    </w:div>
    <w:div w:id="1952130474">
      <w:bodyDiv w:val="1"/>
      <w:marLeft w:val="0"/>
      <w:marRight w:val="0"/>
      <w:marTop w:val="0"/>
      <w:marBottom w:val="0"/>
      <w:divBdr>
        <w:top w:val="none" w:sz="0" w:space="0" w:color="auto"/>
        <w:left w:val="none" w:sz="0" w:space="0" w:color="auto"/>
        <w:bottom w:val="none" w:sz="0" w:space="0" w:color="auto"/>
        <w:right w:val="none" w:sz="0" w:space="0" w:color="auto"/>
      </w:divBdr>
    </w:div>
    <w:div w:id="2052726937">
      <w:bodyDiv w:val="1"/>
      <w:marLeft w:val="0"/>
      <w:marRight w:val="0"/>
      <w:marTop w:val="0"/>
      <w:marBottom w:val="0"/>
      <w:divBdr>
        <w:top w:val="none" w:sz="0" w:space="0" w:color="auto"/>
        <w:left w:val="none" w:sz="0" w:space="0" w:color="auto"/>
        <w:bottom w:val="none" w:sz="0" w:space="0" w:color="auto"/>
        <w:right w:val="none" w:sz="0" w:space="0" w:color="auto"/>
      </w:divBdr>
    </w:div>
    <w:div w:id="2079277175">
      <w:bodyDiv w:val="1"/>
      <w:marLeft w:val="0"/>
      <w:marRight w:val="0"/>
      <w:marTop w:val="0"/>
      <w:marBottom w:val="0"/>
      <w:divBdr>
        <w:top w:val="none" w:sz="0" w:space="0" w:color="auto"/>
        <w:left w:val="none" w:sz="0" w:space="0" w:color="auto"/>
        <w:bottom w:val="none" w:sz="0" w:space="0" w:color="auto"/>
        <w:right w:val="none" w:sz="0" w:space="0" w:color="auto"/>
      </w:divBdr>
    </w:div>
    <w:div w:id="2110538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tesol.org/advance-the-field/standards/tesol-caep-standards-for-p-12-teacher-education-programs" TargetMode="External"/><Relationship Id="rId18" Type="http://schemas.openxmlformats.org/officeDocument/2006/relationships/hyperlink" Target="https://www.jstor.org/stable/23478732"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doi.org/10.1177/002248719905000511"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nces.ed.gov/fastfacts/display.asp?id=96" TargetMode="External"/><Relationship Id="rId17" Type="http://schemas.openxmlformats.org/officeDocument/2006/relationships/hyperlink" Target="https://www.penpalschools.com/" TargetMode="External"/><Relationship Id="rId25" Type="http://schemas.openxmlformats.org/officeDocument/2006/relationships/hyperlink" Target="https://files.eric.ed.gov/fulltext/EJ1001258.pdf" TargetMode="External"/><Relationship Id="rId33"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s://iearn.org/cc/space-10/group-171/about" TargetMode="External"/><Relationship Id="rId20" Type="http://schemas.openxmlformats.org/officeDocument/2006/relationships/hyperlink" Target="https://doi.org/10.1177/0022487197048002002" TargetMode="External"/><Relationship Id="rId29" Type="http://schemas.openxmlformats.org/officeDocument/2006/relationships/hyperlink" Target="http://www.goshen.edu/art/ed/creativitykiller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rriam-webster.com/dictionary/language%20barrier" TargetMode="External"/><Relationship Id="rId24" Type="http://schemas.openxmlformats.org/officeDocument/2006/relationships/hyperlink" Target="http://www.jstor.org/stable/3447652" TargetMode="External"/><Relationship Id="rId32" Type="http://schemas.openxmlformats.org/officeDocument/2006/relationships/hyperlink" Target="http://caepnet.files.wordpress.com/2013/02/commrpt.pdf" TargetMode="External"/><Relationship Id="rId5" Type="http://schemas.openxmlformats.org/officeDocument/2006/relationships/webSettings" Target="webSettings.xml"/><Relationship Id="rId15" Type="http://schemas.openxmlformats.org/officeDocument/2006/relationships/hyperlink" Target="http://pcrmweb.peacecorps.gov/cn/aflq5/rpcvspeaker" TargetMode="External"/><Relationship Id="rId23" Type="http://schemas.openxmlformats.org/officeDocument/2006/relationships/hyperlink" Target="http://www.jstor.org/stable/4315634" TargetMode="External"/><Relationship Id="rId28" Type="http://schemas.openxmlformats.org/officeDocument/2006/relationships/header" Target="header4.xml"/><Relationship Id="rId10" Type="http://schemas.openxmlformats.org/officeDocument/2006/relationships/footer" Target="footer2.xml"/><Relationship Id="rId19" Type="http://schemas.openxmlformats.org/officeDocument/2006/relationships/hyperlink" Target="https://eric.ed.gov/?id=EJ1001441" TargetMode="External"/><Relationship Id="rId31" Type="http://schemas.openxmlformats.org/officeDocument/2006/relationships/hyperlink" Target="http://www.wedl.org/reading/topics/assessment.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studentsoftheworld.info/menu_infopays.html" TargetMode="External"/><Relationship Id="rId22" Type="http://schemas.openxmlformats.org/officeDocument/2006/relationships/hyperlink" Target="http://www.highered.nysed.gov/pdf/NCATECR.pdf" TargetMode="External"/><Relationship Id="rId27" Type="http://schemas.openxmlformats.org/officeDocument/2006/relationships/header" Target="header3.xml"/><Relationship Id="rId30" Type="http://schemas.openxmlformats.org/officeDocument/2006/relationships/hyperlink" Target="https://people.goshen.edu/~marvinpb/arted/tc.html"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8A6D48-56AB-4EAD-99B3-599EE1782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25960</Words>
  <Characters>147973</Characters>
  <Application>Microsoft Office Word</Application>
  <DocSecurity>4</DocSecurity>
  <Lines>1233</Lines>
  <Paragraphs>347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173586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profile</dc:creator>
  <cp:keywords/>
  <dc:description/>
  <cp:lastModifiedBy>Sparks, Cheryl</cp:lastModifiedBy>
  <cp:revision>2</cp:revision>
  <cp:lastPrinted>2016-09-09T17:44:00Z</cp:lastPrinted>
  <dcterms:created xsi:type="dcterms:W3CDTF">2019-05-07T15:08:00Z</dcterms:created>
  <dcterms:modified xsi:type="dcterms:W3CDTF">2019-05-07T15:08:00Z</dcterms:modified>
</cp:coreProperties>
</file>